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（电子招投标）</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（货物类项目，非专门面向中小微企业）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项目编号：JSZC-321181-JZCG-G2026-0004</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color w:val="000000"/>
          <w:sz w:val="36"/>
        </w:rPr>
        <w:t xml:space="preserve">：</w:t>
      </w:r>
      <w:r>
        <w:rPr>
          <w:rFonts w:ascii="SimSun" w:hAnsi="SimSun" w:eastAsia="SimSun" w:cs="SimSun"/>
          <w:b/>
          <w:color w:val="000000"/>
          <w:sz w:val="36"/>
        </w:rPr>
        <w:t xml:space="preserve">丹阳市公物仓2026年电梯更新改造项目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丹阳市政府采购中心</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2026年4月10日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176"/>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提 示 函</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各政府采购供应商：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为打造公开公平公正的政府采购营商环境，规范政府采购活动，请贵单位仔细阅读下列条款：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一、基本要求：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1.应当遵循公开、公平、公正和诚实信用原则；</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2.不得有串通投标、提供虚假材料等违法违规行为；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3.不得捏造事实、提供虚假材料或者以非法手段取得证明材料进行投诉。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二、经查实有下列行为的，将依法依规严肃处理: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(1)提供虚假材料谋取中标、成交的;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(3)与采购人、其他供应商或者采购代理机构恶意串通的;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(4)向采购人、采购代理机构行贿或者提供其他不正当利益的;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(5)在招标采购过程中与采购人进行协商谈判的;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2．在“信用中国”网、中国政府采购网等相关网站有失信记录按规定被依法限制参与政府采购活动的，在规定期限内不得参加本市范围内的政府采购活动。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招标文件目录</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第一部分投标邀请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第二部分投标人须知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第三部分拟签订的合同文本</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第四部分采购需求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第五部分评标办法和标准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第六部分投标文件（格式）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36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丹阳市公物仓2026年电梯更新改造项目</w:t>
      </w:r>
      <w:r>
        <w:rPr>
          <w:rFonts w:ascii="SimSun" w:hAnsi="SimSun" w:eastAsia="SimSun" w:cs="SimSun"/>
          <w:color w:val="000000"/>
          <w:sz w:val="24"/>
        </w:rPr>
        <w:t xml:space="preserve">的潜在投标人应在“苏采云”电子交易平台（网址：http://jszfcg.jsczt.cn/）获取招标文件，并于</w:t>
      </w:r>
      <w:r>
        <w:rPr>
          <w:rFonts w:ascii="SimSun" w:hAnsi="SimSun" w:eastAsia="SimSun" w:cs="SimSun"/>
          <w:color w:val="000000"/>
          <w:sz w:val="24"/>
          <w:u w:val="single"/>
        </w:rPr>
        <w:t xml:space="preserve">2026年4月30日9点30分（北京时间）前按要求递交投标文件。</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项目编号：JSZC-321181-JZCG-G2026-0004</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项目名称：丹阳市公物仓2026年电梯更新改造项目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最高限价：180万元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采购需求：详细内容及要求见采购需求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合同履行期限：详细内容及要求见采购需求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本项目是否接受联合体投标：不接受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1.1具有独立承担民事责任的能力；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1.2具有良好的商业信誉和健全的财务会计制度；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1.3具有履行合同所必需的设备和专业技术能力；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1.4有依法缴纳税收和社会保障资金的良好记录；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1.5参加政府采购活动前三年内，在经营活动中没有重大违法记录;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1.6法律、行政法规规定的其他条件。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3.1投标人如为电梯制造商，须具有《中华人民共和国特种设备制造许可证》（电梯）或《中华人民共和国特种设备生产许可证》（电梯）。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获取时间：2026年4月10日0:00起至2026年4月17日 23:59分（北京时间）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获取地点：江苏政府采购网-苏采云电子交易平台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方式：在线获取（“苏采云”系统用户注册--获取“CA数字证书”--CA绑定与登录--网上报名--下载招标文件，具体操作详见“苏采云”系统供应商操作指南http://www.ccgp-jiangsu.gov.cn/jiangsu/zlxz/ee/ee3a4bc5a3454aa2b0d9312230633ce9.html</w:t>
      </w:r>
      <w:r>
        <w:rPr>
          <w:rFonts w:ascii="SimSun" w:hAnsi="SimSun" w:eastAsia="SimSun" w:cs="SimSun"/>
          <w:color w:val="000000"/>
          <w:sz w:val="24"/>
          <w:u w:val="single"/>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采购文件售价：免费</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四、提交投标文件截止时间、开标时间和地点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提交截止时间及开标时间：2026年4月30日9点30分（北京时间）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开标地点：“苏采云”政府采购交易系统网上</w:t>
      </w:r>
      <w:r>
        <w:rPr>
          <w:rFonts w:ascii="SimSun" w:hAnsi="SimSun" w:eastAsia="SimSun" w:cs="SimSun"/>
          <w:color w:val="000000"/>
          <w:sz w:val="22"/>
        </w:rPr>
        <w:t xml:space="preserve">开标大厅</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w:t>
      </w:r>
      <w:r>
        <w:rPr>
          <w:rFonts w:ascii="SimSun" w:hAnsi="SimSun" w:eastAsia="SimSun" w:cs="SimSun"/>
          <w:color w:val="000000"/>
          <w:sz w:val="24"/>
        </w:rPr>
        <w:t xml:space="preserve">取副锁（含多把副锁）请注意正副锁的使用差别）。本项目在限定的解密时间内，只要有一家投标人解密成功，即视为网上招投标平台运行无故障。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4.因投标人自身软硬件配备不齐全或发生故障等问题而导致在交互过程中出现不稳定或中断等情况的，由投标人自身承担一切后果。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5.有关本次招标的事项若存在变动或修改，敬请及时关注江苏政府采购网的更正公告。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6.本次招标不收取投标保证金。</w:t>
      </w:r>
      <w:r/>
    </w:p>
    <w:p>
      <w:pPr>
        <w:ind w:left="0" w:right="0" w:firstLine="320"/>
        <w:jc w:val="center"/>
        <w:spacing w:before="0" w:after="0" w:line="85" w:lineRule="atLeast"/>
        <w:pBdr>
          <w:top w:val="single" w:color="000000" w:sz="6" w:space="0"/>
          <w:left w:val="none" w:color="000000" w:sz="4" w:space="0"/>
          <w:bottom w:val="none" w:color="000000" w:sz="4" w:space="0"/>
          <w:right w:val="none" w:color="000000" w:sz="4" w:space="0"/>
        </w:pBdr>
      </w:pPr>
      <w:r>
        <w:rPr>
          <w:rFonts w:ascii="SimSun" w:hAnsi="SimSun" w:eastAsia="SimSun" w:cs="SimSun"/>
          <w:color w:val="000000"/>
          <w:sz w:val="18"/>
        </w:rPr>
        <w:t xml:space="preserve">窗体底端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称：丹阳市机关事务管理中心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址：丹阳市兰陵路8号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联系方式：0511-86923866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址：丹阳市开发区兰陵路88号4楼404室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话：0511-86906230</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1"/>
        <w:gridCol w:w="1932"/>
        <w:gridCol w:w="664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投标人应对本项目报出最具有竞争力的价格，应包括本次招标要求提供的货物（服务）已支付或将支付的所有费用（含税费）。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本项目不同意分包。</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不统一组织,如需现场踏勘，可自行联系采购人前往。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地点：丹阳市兰陵路8号</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联系人：李斌  联系方式：0511-86923866</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有，本项目演示使用录播上传形式，各投标人自行将录播内容上传至“苏采云”系统的演示视频模块。操作指南详见http://www.ccgp-jiangsu.gov.cn/jiangsu/zlxz/ee/ee3a4bc5a3454aa2b0d9312230633ce9.html。</w:t>
            </w:r>
            <w:r>
              <w:rPr>
                <w:rFonts w:ascii="SimSun" w:hAnsi="SimSun" w:eastAsia="SimSun" w:cs="SimSun"/>
                <w:b/>
                <w:color w:val="000000"/>
                <w:sz w:val="24"/>
                <w:u w:val="single"/>
              </w:rPr>
              <w:t xml:space="preserve">视频以压缩形式进行上传，单个视频上限50M，整体上限300M。</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不要求提供。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（1）样品：无；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（2）样品制作的标准和要求：无；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（3）样品的评审方法以及评审标准：详见评标办法；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（4）是否需要随样品提交检测报告：</w:t>
            </w:r>
            <w:r>
              <w:rPr>
                <w:rFonts w:ascii="SimSun" w:hAnsi="SimSun" w:eastAsia="SimSun" w:cs="SimSun"/>
                <w:color w:val="000000"/>
                <w:spacing w:val="1"/>
                <w:sz w:val="24"/>
              </w:rPr>
              <w:t xml:space="preserve">□</w:t>
            </w:r>
            <w:r>
              <w:rPr>
                <w:rFonts w:ascii="SimSun" w:hAnsi="SimSun" w:eastAsia="SimSun" w:cs="SimSun"/>
                <w:color w:val="000000"/>
                <w:sz w:val="24"/>
              </w:rPr>
              <w:t xml:space="preserve">否；</w:t>
            </w:r>
            <w:r>
              <w:rPr>
                <w:rFonts w:ascii="SimSun" w:hAnsi="SimSun" w:eastAsia="SimSun" w:cs="SimSun"/>
                <w:color w:val="000000"/>
                <w:spacing w:val="-1"/>
                <w:sz w:val="24"/>
              </w:rPr>
              <w:t xml:space="preserve">□</w:t>
            </w:r>
            <w:r>
              <w:rPr>
                <w:rFonts w:ascii="SimSun" w:hAnsi="SimSun" w:eastAsia="SimSun" w:cs="SimSun"/>
                <w:color w:val="000000"/>
                <w:sz w:val="24"/>
              </w:rPr>
              <w:t xml:space="preserve">是，检测机构的要求：无；检测内容：无。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（5）提供样品的时间：无。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货物类。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本项目核心产品为：客梯。</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（1）标的：客梯，属于</w:t>
            </w:r>
            <w:r>
              <w:rPr>
                <w:rFonts w:ascii="SimSun" w:hAnsi="SimSun" w:eastAsia="SimSun" w:cs="SimSun"/>
                <w:color w:val="000000"/>
                <w:sz w:val="24"/>
                <w:u w:val="single"/>
              </w:rPr>
              <w:t xml:space="preserve">  工业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本招标文件仅适用于丹阳市公物仓2026年电梯更新改造项目。</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2.1“采购人”系指依法进行政府采购的国家机关、事业单位、团体组织，即：丹阳市机关事务管理中心。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2.4“货物”亦称产品，系指投标人按招标文件要求，须向采购人提供的客梯及杂物梯等、备件、工具、说明书及使用手册。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系指根据招标文件规定投标人承担的与供货有关的辅助服务，按合同规定乙方必须承担的供货安装、设备调试、技术指导、培训以及其他类似的承诺义务。服务亦包括招标文件中特别描述的其它形式的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”系指适用本项目的要求。“</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”系指不适用本项目的要求。</w:t>
      </w:r>
      <w:r/>
    </w:p>
    <w:p>
      <w:pPr>
        <w:ind w:left="0" w:right="0" w:firstLine="60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w:t>
      </w:r>
      <w:r>
        <w:rPr>
          <w:rFonts w:ascii="SimSun" w:hAnsi="SimSun" w:eastAsia="SimSun" w:cs="SimSun"/>
          <w:color w:val="000000"/>
          <w:sz w:val="24"/>
        </w:rPr>
        <w:t xml:space="preserve">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2"/>
        <w:jc w:val="both"/>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投标人在编制投标文件时，请按照招标文件第六部分规定的格式进行填写并提交到对应位置。系统中的投标文件格式与招标文件第六部分不一致的，以招标文件第六部</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投标人须在招标文件规定的截止时间前，通过响应文件编制软件制作完成后，登录“苏采云”系统在规定时间内完成提交。</w:t>
      </w:r>
      <w:r>
        <w:rPr>
          <w:rFonts w:ascii="SimSun" w:hAnsi="SimSun" w:eastAsia="SimSun" w:cs="SimSun"/>
          <w:b/>
          <w:color w:val="000000"/>
          <w:sz w:val="24"/>
          <w:u w:val="single"/>
        </w:rPr>
        <w:t xml:space="preserve">时间以“苏采云”系统时间为准。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截止时间以后提交的投标文件，“苏采云”系统将拒绝接收上传的任何投标文件。投标人应充分考虑网络环境、网络带宽等风险因素。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在提交截止时间前，投标人可以对所提交的投标文件进行补充、修改或者撤回。投标人撤回电子响应文件，则认为其不再参与本项目磋商活动。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五、开标及评标</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17.6本项目在限定的解密时间内，只要有任一家投标人解密成功，即视为“苏采云”系统运行无故障。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1、投标（响应）报价低于采购项目预算 50% 的，即投标（响应）报价&lt;采购项目预算×50%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2、投标（响应）报价低于采购项目最高限价 45% 的，即投标（响应）报价&lt;采购项目最高限价×45%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3、评审委员会认定的供应商报价过低、有可能影响产品质量或者不能诚信履约的其他情形。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pStyle w:val="764"/>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20.3.2投标人的澄清应登录“苏采云”系统进入“澄清事项”模块进行。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开标至评标结束期间，投标人应保持系统在线，如因投标人自身原因未在规定时间内按评标委员会要求进行澄清、说明或者补正的，一切后果由投标人自行承担。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 投标人存在下列情况之一的，其投标无效：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 投标人存在下列情况之一的，其投标无效：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 投标人在苏采云系统规定的时间内未成功解密电子投标文件的。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21.1.2 投标人未按照招标文件要求上传电子投标文件的。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21.1.3同一投标人提交两个（含两个）以上不同的投标报价的。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21.1.4投标人不具备招标文件中规定资格要求的。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21.1.5投标人的报价超过了采购预算或最高限价的。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21.1.6未通过符合性审查的。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21.1.7不符合招标文件中规定的实质性要求和条件的。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21.1.9 投标文件含有采购人不能接受的附加条件的。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21.1.10符合招标文件前款第 20.2 条规定的异常低价投标情形，即投标（响应）报价低于采购项目预算 50%、低于采购项目最高限价 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21.1.11投标文件未按照招标文件要求加盖CA电子公章的。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21.1.12如有委托代理人，未提供投标人为其缴纳社保证明材料的。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21.1.13投标文件中提供了虚假或失实资料的。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21.1.14投标人存在串通投标情形的。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21.1.15加“★”项有负偏离的；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21.1.16为本项目提供整体设计、规范编制或者项目管理、监理、检测等服务的。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21.1.17不同投标人的法定代表人或单位负责人为同一个人或者存在直接控股、管理关系的。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21.1.18项目工期有负偏离的。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21.1.19不符合法律、法规和招标文件规定的其它实质性条款（须经评标委员会半数以上同意）。</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□本项目中标供应商应提交合同金额XX的履约保证金（不得超过政府采购合同金额的10%），履约保证金应以支票、汇票、本票、保函、保险保单等非现金形式缴纳或提交。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直接访问，也可通过江苏省政府采购网、“苏采云”系统链接访问。</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八、询问、质疑、投诉</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31.5本项目采购人及丹阳市政府采购中心只接收以纸质原件形式送达的质疑。（本项目采购人及丹阳市政府采购中心不接受未填写快递运单的快件）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接收部门:丹阳市政府采购中心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接收地址:丹阳市开发区兰陵路88号四楼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联系电话:0511-86906230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31.6.6质疑流程及质疑函格式见“镇江市公共资源交易平台”网站-政民互动-质疑渠道。</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32.3投诉流程及注意事项见“镇江市公共资源交易服务平台—政府采购”网站“投诉指引”。</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九、诚实信用和解释权</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w:t>
      </w:r>
      <w:r>
        <w:rPr>
          <w:rFonts w:ascii="SimSun" w:hAnsi="SimSun" w:eastAsia="SimSun" w:cs="SimSun"/>
          <w:color w:val="000000"/>
          <w:sz w:val="24"/>
        </w:rPr>
        <w:t xml:space="preserve">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丹阳市政府采购合同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项目编号：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采购人：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中标供应商：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使用说明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1.本合同标准文本适用于购买现成货物的采购项目，不包括需要供应商定制开发、创新研发的货物采购项目。</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3.本合同标准文本各条款中，如涉及填写多家供应商、制造商，多种采购标的、分包主要内容等信息的，可根据采购项目具体情况添加信息项。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第一节 政府采购合同协议书</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甲方（全称）：（采购人）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乙方（全称）：（供应商）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项目信息</w:t>
      </w:r>
      <w:r/>
    </w:p>
    <w:p>
      <w:pPr>
        <w:numPr>
          <w:ilvl w:val="0"/>
          <w:numId w:val="6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采购项目编号：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（2）采购计划编号：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（3）项目内容：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采购标的及数量（台/套/个/架/组等）：</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品牌：规格型号：</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采购标的的技术要求、商务要求具体见附件。</w:t>
      </w:r>
      <w:r/>
    </w:p>
    <w:p>
      <w:pPr>
        <w:ind w:left="0" w:right="0" w:firstLine="10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①涉及信息类产品，请填写该产品关键部件的品牌、型号：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标的名称：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关键部件： 品牌： 型号：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②涉及车辆采购，请填写是否属于新能源汽车：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是，《政府采购品目分类目录》底级品目名称： 数量： 金额：</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（4）政府采购组织形式：</w:t>
      </w:r>
      <w:r>
        <w:rPr>
          <w:rFonts w:ascii="Wingdings" w:hAnsi="Wingdings" w:eastAsia="Wingdings" w:cs="Wingdings"/>
          <w:color w:val="000000"/>
          <w:sz w:val="24"/>
        </w:rPr>
        <w:t xml:space="preserve">¨</w:t>
      </w:r>
      <w:r>
        <w:rPr>
          <w:rFonts w:ascii="SimSun" w:hAnsi="SimSun" w:eastAsia="SimSun" w:cs="SimSun"/>
          <w:color w:val="000000"/>
          <w:sz w:val="24"/>
        </w:rPr>
        <w:t xml:space="preserve">政府集中采购</w:t>
      </w:r>
      <w:r>
        <w:rPr>
          <w:rFonts w:ascii="Wingdings" w:hAnsi="Wingdings" w:eastAsia="Wingdings" w:cs="Wingdings"/>
          <w:color w:val="000000"/>
          <w:sz w:val="24"/>
        </w:rPr>
        <w:t xml:space="preserve">¨</w:t>
      </w:r>
      <w:r>
        <w:rPr>
          <w:rFonts w:ascii="SimSun" w:hAnsi="SimSun" w:eastAsia="SimSun" w:cs="SimSun"/>
          <w:color w:val="000000"/>
          <w:sz w:val="24"/>
        </w:rPr>
        <w:t xml:space="preserve">部门集中采购</w:t>
      </w:r>
      <w:r>
        <w:rPr>
          <w:rFonts w:ascii="Wingdings" w:hAnsi="Wingdings" w:eastAsia="Wingdings" w:cs="Wingdings"/>
          <w:color w:val="000000"/>
          <w:sz w:val="24"/>
        </w:rPr>
        <w:t xml:space="preserve">¨</w:t>
      </w:r>
      <w:r>
        <w:rPr>
          <w:rFonts w:ascii="SimSun" w:hAnsi="SimSun" w:eastAsia="SimSun" w:cs="SimSun"/>
          <w:color w:val="000000"/>
          <w:sz w:val="24"/>
        </w:rPr>
        <w:t xml:space="preserve">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（5）政府采购方式：</w:t>
      </w:r>
      <w:r>
        <w:rPr>
          <w:rFonts w:ascii="Wingdings" w:hAnsi="Wingdings" w:eastAsia="Wingdings" w:cs="Wingdings"/>
          <w:color w:val="000000"/>
          <w:sz w:val="24"/>
        </w:rPr>
        <w:t xml:space="preserve">¨</w:t>
      </w:r>
      <w:r>
        <w:rPr>
          <w:rFonts w:ascii="SimSun" w:hAnsi="SimSun" w:eastAsia="SimSun" w:cs="SimSun"/>
          <w:color w:val="000000"/>
          <w:sz w:val="24"/>
        </w:rPr>
        <w:t xml:space="preserve">公开招标 </w:t>
      </w:r>
      <w:r>
        <w:rPr>
          <w:rFonts w:ascii="Wingdings" w:hAnsi="Wingdings" w:eastAsia="Wingdings" w:cs="Wingdings"/>
          <w:color w:val="000000"/>
          <w:sz w:val="24"/>
        </w:rPr>
        <w:t xml:space="preserve">¨</w:t>
      </w:r>
      <w:r>
        <w:rPr>
          <w:rFonts w:ascii="SimSun" w:hAnsi="SimSun" w:eastAsia="SimSun" w:cs="SimSun"/>
          <w:color w:val="000000"/>
          <w:sz w:val="24"/>
        </w:rPr>
        <w:t xml:space="preserve">邀请招标 </w:t>
      </w:r>
      <w:r>
        <w:rPr>
          <w:rFonts w:ascii="Wingdings" w:hAnsi="Wingdings" w:eastAsia="Wingdings" w:cs="Wingdings"/>
          <w:color w:val="000000"/>
          <w:sz w:val="24"/>
        </w:rPr>
        <w:t xml:space="preserve">¨</w:t>
      </w:r>
      <w:r>
        <w:rPr>
          <w:rFonts w:ascii="SimSun" w:hAnsi="SimSun" w:eastAsia="SimSun" w:cs="SimSun"/>
          <w:color w:val="000000"/>
          <w:sz w:val="24"/>
        </w:rPr>
        <w:t xml:space="preserve">竞争性谈判 </w:t>
      </w:r>
      <w:r>
        <w:rPr>
          <w:rFonts w:ascii="Wingdings" w:hAnsi="Wingdings" w:eastAsia="Wingdings" w:cs="Wingdings"/>
          <w:color w:val="000000"/>
          <w:sz w:val="24"/>
        </w:rPr>
        <w:t xml:space="preserve">¨</w:t>
      </w:r>
      <w:r>
        <w:rPr>
          <w:rFonts w:ascii="SimSun" w:hAnsi="SimSun" w:eastAsia="SimSun" w:cs="SimSun"/>
          <w:color w:val="000000"/>
          <w:sz w:val="24"/>
        </w:rPr>
        <w:t xml:space="preserve">竞争性磋商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询价 </w:t>
      </w:r>
      <w:r>
        <w:rPr>
          <w:rFonts w:ascii="Wingdings" w:hAnsi="Wingdings" w:eastAsia="Wingdings" w:cs="Wingdings"/>
          <w:color w:val="000000"/>
          <w:sz w:val="24"/>
        </w:rPr>
        <w:t xml:space="preserve">¨</w:t>
      </w:r>
      <w:r>
        <w:rPr>
          <w:rFonts w:ascii="SimSun" w:hAnsi="SimSun" w:eastAsia="SimSun" w:cs="SimSun"/>
          <w:color w:val="000000"/>
          <w:sz w:val="24"/>
        </w:rPr>
        <w:t xml:space="preserve">单一来源 </w:t>
      </w:r>
      <w:r>
        <w:rPr>
          <w:rFonts w:ascii="Wingdings" w:hAnsi="Wingdings" w:eastAsia="Wingdings" w:cs="Wingdings"/>
          <w:color w:val="000000"/>
          <w:sz w:val="24"/>
        </w:rPr>
        <w:t xml:space="preserve">¨</w:t>
      </w:r>
      <w:r>
        <w:rPr>
          <w:rFonts w:ascii="SimSun" w:hAnsi="SimSun" w:eastAsia="SimSun" w:cs="SimSun"/>
          <w:color w:val="000000"/>
          <w:sz w:val="24"/>
        </w:rPr>
        <w:t xml:space="preserve">框架协议 </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（注：在框架协议采购的第二阶段，可选择使用该合同文本）</w:t>
      </w:r>
      <w:r/>
    </w:p>
    <w:p>
      <w:pPr>
        <w:ind w:left="0" w:right="0" w:firstLine="2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（6）中标（成交）采购标的制造商是否为中小企业：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本合同是否为专门面向中小企业的采购合同（中小企业预留合同）：</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若本项目不专门面向中小企业采购，是否给予小微企业评审优惠：</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中标（成交）采购标的制造商是否为残疾人福利性单位：</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中标（成交）采购标的制造商是否为监狱企业：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（7）合同是否分包：</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分包主要内容：</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分包供应商/制造商名称（如供应商和制造商不同，请分别填写）：</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分包供应商/制造商类型（如果供应商和制造商不同，只填写制造商类型）：</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大型企业</w:t>
      </w:r>
      <w:r>
        <w:rPr>
          <w:rFonts w:ascii="Wingdings" w:hAnsi="Wingdings" w:eastAsia="Wingdings" w:cs="Wingdings"/>
          <w:color w:val="000000"/>
          <w:sz w:val="24"/>
        </w:rPr>
        <w:t xml:space="preserve">¨</w:t>
      </w:r>
      <w:r>
        <w:rPr>
          <w:rFonts w:ascii="SimSun" w:hAnsi="SimSun" w:eastAsia="SimSun" w:cs="SimSun"/>
          <w:color w:val="000000"/>
          <w:sz w:val="24"/>
        </w:rPr>
        <w:t xml:space="preserve">中型企业</w:t>
      </w:r>
      <w:r>
        <w:rPr>
          <w:rFonts w:ascii="Wingdings" w:hAnsi="Wingdings" w:eastAsia="Wingdings" w:cs="Wingdings"/>
          <w:color w:val="000000"/>
          <w:sz w:val="24"/>
        </w:rPr>
        <w:t xml:space="preserve">¨</w:t>
      </w:r>
      <w:r>
        <w:rPr>
          <w:rFonts w:ascii="SimSun" w:hAnsi="SimSun" w:eastAsia="SimSun" w:cs="SimSun"/>
          <w:color w:val="000000"/>
          <w:sz w:val="24"/>
        </w:rPr>
        <w:t xml:space="preserve">小微型企业</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残疾人福利性单位 </w:t>
      </w:r>
      <w:r>
        <w:rPr>
          <w:rFonts w:ascii="Wingdings" w:hAnsi="Wingdings" w:eastAsia="Wingdings" w:cs="Wingdings"/>
          <w:color w:val="000000"/>
          <w:sz w:val="24"/>
        </w:rPr>
        <w:t xml:space="preserve">¨</w:t>
      </w:r>
      <w:r>
        <w:rPr>
          <w:rFonts w:ascii="SimSun" w:hAnsi="SimSun" w:eastAsia="SimSun" w:cs="SimSun"/>
          <w:color w:val="000000"/>
          <w:sz w:val="24"/>
        </w:rPr>
        <w:t xml:space="preserve">监狱企业 </w:t>
      </w:r>
      <w:r>
        <w:rPr>
          <w:rFonts w:ascii="Wingdings" w:hAnsi="Wingdings" w:eastAsia="Wingdings" w:cs="Wingdings"/>
          <w:color w:val="000000"/>
          <w:sz w:val="24"/>
        </w:rPr>
        <w:t xml:space="preserve">¨</w:t>
      </w:r>
      <w:r>
        <w:rPr>
          <w:rFonts w:ascii="SimSun" w:hAnsi="SimSun" w:eastAsia="SimSun" w:cs="SimSun"/>
          <w:color w:val="000000"/>
          <w:sz w:val="24"/>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（8）中标（成交）供应商是否为外商投资企业：</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spacing w:before="0" w:after="0" w:line="400"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外商投资企业类型：</w:t>
      </w:r>
      <w:r>
        <w:rPr>
          <w:rFonts w:ascii="Wingdings" w:hAnsi="Wingdings" w:eastAsia="Wingdings" w:cs="Wingdings"/>
          <w:color w:val="000000"/>
          <w:sz w:val="24"/>
        </w:rPr>
        <w:t xml:space="preserve">¨</w:t>
      </w:r>
      <w:r>
        <w:rPr>
          <w:rFonts w:ascii="SimSun" w:hAnsi="SimSun" w:eastAsia="SimSun" w:cs="SimSun"/>
          <w:color w:val="000000"/>
          <w:sz w:val="24"/>
        </w:rPr>
        <w:t xml:space="preserve">全部由外国投资者投资</w:t>
      </w:r>
      <w:r>
        <w:rPr>
          <w:rFonts w:ascii="Wingdings" w:hAnsi="Wingdings" w:eastAsia="Wingdings" w:cs="Wingdings"/>
          <w:color w:val="000000"/>
          <w:sz w:val="24"/>
        </w:rPr>
        <w:t xml:space="preserve">¨</w:t>
      </w:r>
      <w:r>
        <w:rPr>
          <w:rFonts w:ascii="SimSun" w:hAnsi="SimSun" w:eastAsia="SimSun" w:cs="SimSun"/>
          <w:color w:val="000000"/>
          <w:sz w:val="24"/>
        </w:rPr>
        <w:t xml:space="preserve">部分由外国投资者投资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（9）是否涉及进口产品：</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是，《政府采购品目分类目录》底级品目名称： 金额：</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国别： 品牌： 规格型号：</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是，《节能产品政府采购品目清单》的底级品目名称：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是，《环境标志产品政府采购品目清单》的底级品目名称：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是否涉及绿色产品：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是，绿色产品政府采购相关政策确定的底级品目名称：</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强制采购</w:t>
      </w:r>
      <w:r>
        <w:rPr>
          <w:rFonts w:ascii="Wingdings" w:hAnsi="Wingdings" w:eastAsia="Wingdings" w:cs="Wingdings"/>
          <w:color w:val="000000"/>
          <w:sz w:val="24"/>
        </w:rPr>
        <w:t xml:space="preserve">¨</w:t>
      </w:r>
      <w:r>
        <w:rPr>
          <w:rFonts w:ascii="SimSun" w:hAnsi="SimSun" w:eastAsia="SimSun" w:cs="SimSun"/>
          <w:color w:val="000000"/>
          <w:sz w:val="24"/>
        </w:rPr>
        <w:t xml:space="preserve">优先采购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（11）涉及商品包装和快递包装的，是否参考《商品包装政府采购需求标准（试行）》、《快递包装政府采购需求标准（试行）》明确产品及相关快递服务的具体包装要求：</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rPr>
          <w:rFonts w:ascii="Wingdings" w:hAnsi="Wingdings" w:eastAsia="Wingdings" w:cs="Wingdings"/>
          <w:color w:val="000000"/>
          <w:sz w:val="24"/>
        </w:rPr>
        <w:t xml:space="preserve">¨</w:t>
      </w:r>
      <w:r>
        <w:rPr>
          <w:rFonts w:ascii="SimSun" w:hAnsi="SimSun" w:eastAsia="SimSun" w:cs="SimSun"/>
          <w:color w:val="000000"/>
          <w:sz w:val="24"/>
        </w:rPr>
        <w:t xml:space="preserve">不涉及</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（1）合同金额小写：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分包金额（如有）小写：</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大写：</w:t>
      </w:r>
      <w:r/>
    </w:p>
    <w:p>
      <w:pPr>
        <w:numPr>
          <w:ilvl w:val="0"/>
          <w:numId w:val="65"/>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w:t>
      </w:r>
      <w:r/>
    </w:p>
    <w:p>
      <w:pPr>
        <w:ind w:left="42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乙方自愿放弃本项目预付款。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采购人支付合同金额的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作为预付款，在收到中标人提供的相应金额的正规发票后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个工作日内进行支付。电梯安装调试完毕，验收合格并经审计后付至审计后总价的</w:t>
      </w:r>
      <w:r>
        <w:rPr>
          <w:rFonts w:ascii="Times New Roman" w:hAnsi="Times New Roman" w:eastAsia="Times New Roman" w:cs="Times New Roman"/>
          <w:color w:val="000000"/>
          <w:sz w:val="24"/>
        </w:rPr>
        <w:t xml:space="preserve">95%</w:t>
      </w:r>
      <w:r>
        <w:rPr>
          <w:rFonts w:ascii="SimSun" w:hAnsi="SimSun" w:eastAsia="SimSun" w:cs="SimSun"/>
          <w:color w:val="000000"/>
          <w:sz w:val="24"/>
        </w:rPr>
        <w:t xml:space="preserve">，采购人在收到中标人提供的相应金额的正规发票后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个工作日内支付。剩余款项在验收合格满一年后付清，采购人在收到中标人提供的相应金额的正规发票后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（1）起始日期：年月日，完成日期：年月日。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（3）履约担保：是否收取履约保证金：</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收取履约保证金形式：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收取履约保证金金额：</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履约担保期限：</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（4）分期履行要求：</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（5）风险处置措施和替代方案：</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合同验收</w:t>
      </w:r>
      <w:r/>
    </w:p>
    <w:p>
      <w:pPr>
        <w:numPr>
          <w:ilvl w:val="0"/>
          <w:numId w:val="66"/>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验收组织方式：</w:t>
      </w:r>
      <w:r>
        <w:rPr>
          <w:rFonts w:ascii="Wingdings" w:hAnsi="Wingdings" w:eastAsia="Wingdings" w:cs="Wingdings"/>
          <w:color w:val="000000"/>
          <w:sz w:val="24"/>
        </w:rPr>
        <w:t xml:space="preserve">¨</w:t>
      </w:r>
      <w:r>
        <w:rPr>
          <w:rFonts w:ascii="SimSun" w:hAnsi="SimSun" w:eastAsia="SimSun" w:cs="SimSun"/>
          <w:color w:val="000000"/>
          <w:sz w:val="24"/>
        </w:rPr>
        <w:t xml:space="preserve">自行组织 </w:t>
      </w:r>
      <w:r>
        <w:rPr>
          <w:rFonts w:ascii="Wingdings" w:hAnsi="Wingdings" w:eastAsia="Wingdings" w:cs="Wingdings"/>
          <w:color w:val="000000"/>
          <w:sz w:val="24"/>
        </w:rPr>
        <w:t xml:space="preserve">¨</w:t>
      </w:r>
      <w:r>
        <w:rPr>
          <w:rFonts w:ascii="SimSun" w:hAnsi="SimSun" w:eastAsia="SimSun" w:cs="SimSun"/>
          <w:color w:val="000000"/>
          <w:sz w:val="24"/>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验收主体：</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是否邀请本项目的其他供应商参加验收：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是否邀请专家参加验收：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是否邀请服务对象参加验收：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是否邀请第三方检测机构参加验收：</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是否进行抽查检测：</w:t>
      </w:r>
      <w:r>
        <w:rPr>
          <w:rFonts w:ascii="Wingdings" w:hAnsi="Wingdings" w:eastAsia="Wingdings" w:cs="Wingdings"/>
          <w:color w:val="000000"/>
          <w:sz w:val="24"/>
        </w:rPr>
        <w:t xml:space="preserve">¨</w:t>
      </w:r>
      <w:r>
        <w:rPr>
          <w:rFonts w:ascii="SimSun" w:hAnsi="SimSun" w:eastAsia="SimSun" w:cs="SimSun"/>
          <w:color w:val="000000"/>
          <w:sz w:val="24"/>
        </w:rPr>
        <w:t xml:space="preserve">是，抽查比例：</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是否存在破坏性检测：</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SimSun" w:hAnsi="SimSun" w:eastAsia="SimSun" w:cs="SimSun"/>
          <w:color w:val="000000"/>
          <w:sz w:val="24"/>
          <w:u w:val="single"/>
        </w:rPr>
        <w:t xml:space="preserve">（应明确对被破坏的检测产品的处理方式）</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9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验收组织的其他事项：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（2）履约验收时间：</w:t>
      </w:r>
      <w:r>
        <w:rPr>
          <w:rFonts w:ascii="SimSun" w:hAnsi="SimSun" w:eastAsia="SimSun" w:cs="SimSun"/>
          <w:color w:val="000000"/>
          <w:sz w:val="24"/>
          <w:u w:val="single"/>
        </w:rPr>
        <w:t xml:space="preserve">（计划于何时验收/供应商提出验收申请之日起   日内组织验收）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（3）履约验收方式：</w:t>
      </w:r>
      <w:r>
        <w:rPr>
          <w:rFonts w:ascii="Wingdings" w:hAnsi="Wingdings" w:eastAsia="Wingdings" w:cs="Wingdings"/>
          <w:color w:val="000000"/>
          <w:sz w:val="24"/>
        </w:rPr>
        <w:t xml:space="preserve">¨</w:t>
      </w:r>
      <w:r>
        <w:rPr>
          <w:rFonts w:ascii="SimSun" w:hAnsi="SimSun" w:eastAsia="SimSun" w:cs="SimSun"/>
          <w:color w:val="000000"/>
          <w:sz w:val="24"/>
        </w:rPr>
        <w:t xml:space="preserve">一次性验收</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4"/>
        </w:rPr>
        <w:t xml:space="preserve">¨</w:t>
      </w:r>
      <w:r>
        <w:rPr>
          <w:rFonts w:ascii="SimSun" w:hAnsi="SimSun" w:eastAsia="SimSun" w:cs="SimSun"/>
          <w:color w:val="000000"/>
          <w:sz w:val="24"/>
        </w:rPr>
        <w:t xml:space="preserve">分期/分项验收：</w:t>
      </w:r>
      <w:r>
        <w:rPr>
          <w:rFonts w:ascii="SimSun" w:hAnsi="SimSun" w:eastAsia="SimSun" w:cs="SimSun"/>
          <w:color w:val="000000"/>
          <w:sz w:val="24"/>
          <w:u w:val="single"/>
        </w:rPr>
        <w:t xml:space="preserve"> （应明确分期/分项验收的工作安排）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（4）履约验收程序：</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（5）履约验收的内容：</w:t>
      </w:r>
      <w:r>
        <w:rPr>
          <w:rFonts w:ascii="SimSun" w:hAnsi="SimSun" w:eastAsia="SimSun" w:cs="SimSun"/>
          <w:color w:val="000000"/>
          <w:sz w:val="24"/>
          <w:u w:val="single"/>
        </w:rPr>
        <w:t xml:space="preserve"> （应当包括每一项技术和商务要求的履约情况，特别是落实政府采购扶持中小企业，支持绿色发展和乡村振兴等政策情况）</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（6）履约验收标准：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（7）是否以采购活动中供应商提供的样品作为参考：</w:t>
      </w:r>
      <w:r>
        <w:rPr>
          <w:rFonts w:ascii="Wingdings" w:hAnsi="Wingdings" w:eastAsia="Wingdings" w:cs="Wingdings"/>
          <w:color w:val="000000"/>
          <w:sz w:val="24"/>
        </w:rPr>
        <w:t xml:space="preserve">¨</w:t>
      </w:r>
      <w:r>
        <w:rPr>
          <w:rFonts w:ascii="SimSun" w:hAnsi="SimSun" w:eastAsia="SimSun" w:cs="SimSun"/>
          <w:color w:val="000000"/>
          <w:sz w:val="24"/>
        </w:rPr>
        <w:t xml:space="preserve">是</w:t>
      </w:r>
      <w:r>
        <w:rPr>
          <w:rFonts w:ascii="Wingdings" w:hAnsi="Wingdings" w:eastAsia="Wingdings" w:cs="Wingdings"/>
          <w:color w:val="000000"/>
          <w:sz w:val="24"/>
        </w:rPr>
        <w:t xml:space="preserve">¨</w:t>
      </w:r>
      <w:r>
        <w:rPr>
          <w:rFonts w:ascii="SimSun" w:hAnsi="SimSun" w:eastAsia="SimSun" w:cs="SimSun"/>
          <w:color w:val="000000"/>
          <w:sz w:val="24"/>
        </w:rPr>
        <w:t xml:space="preserve">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（8）履约验收其他事项：</w:t>
      </w:r>
      <w:r>
        <w:rPr>
          <w:rFonts w:ascii="SimSun" w:hAnsi="SimSun" w:eastAsia="SimSun" w:cs="SimSun"/>
          <w:color w:val="000000"/>
          <w:sz w:val="24"/>
          <w:u w:val="single"/>
        </w:rPr>
        <w:t xml:space="preserve">      （产权过户登记等）</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组成合同的文件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本协议书与下列文件一起构成合同文件，如下述文件之间有任何抵触、矛盾或歧义，应按以下顺序解释：</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（1）政府采购合同协议书及其变更、补充协议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（2）政府采购合同专用条款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（3）政府采购合同通用条款</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（4）中标（成交）通知书</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（5）投标（响应）文件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（6）采购文件</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（7）有关技术文件，图纸</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（8）国家法律、行政法规和规章制度规定或合同约定的作为合同组成部分的其他文件</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合同生效</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本合同自年月日生效。</w:t>
      </w:r>
      <w:r/>
    </w:p>
    <w:p>
      <w:pPr>
        <w:numPr>
          <w:ilvl w:val="0"/>
          <w:numId w:val="64"/>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合同份数</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本合同一式份，甲方执份，乙方执份，均具有同等法律效力。</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合同订立时间：年月日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合同订立地点：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附件：具体标的及其技术要求和商务要求、联合协议、分包意向协议等。</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96"/>
        <w:gridCol w:w="2691"/>
        <w:gridCol w:w="2178"/>
        <w:gridCol w:w="2374"/>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单位名称（公章或合同章）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115"/>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  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4"/>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val="false"/>
          </w:tcPr>
          <w:p>
            <w:pPr>
              <w:ind w:left="0" w:right="0" w:firstLine="645"/>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注：涉及联合体或其他合同主体的信息应按上表格式加列。</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定义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1.1合同当事人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（1）采购人（以下称甲方）是指使用财政性资金，通过政府采购方式向供应商购买货物及其相关服务的国家机关、事业单位、团体组织。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（2）供应商（以下称乙方）是指参加政府采购活动并且中标（成交），向采购人提供合同约定的货物及其相关服务的法人、非法人组织或者自然人。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（3）其他合同主体是指除采购人和供应商以外，依法参与合同缔结或履行，享有权利、承担义务的合同当事人。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1.2本合同下列术语应解释为：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（2）“合同价款”系指根据本合同规定乙方在全面履行合同义务后甲方应支付给乙方的价款。</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（3）“货物”系指乙方根据本合同规定须向甲方提供的各种形态和种类的物品，包括原材料、设备、产品（包括软件）及相关的其备品备件、工具、手册及其他技术资料和材料等。</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48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（7）其他术语解释，见【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2.合同标的及金额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甲方有权要求乙方对缺陷部分予以修复，并按合同约定享有货物保修及其他合同约定的权利。</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甲方应当按照合同约定及时对交付的货物进行验收，未在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约定的期限内对乙方履约提出任何异议或者向乙方作出任何说明的，视为验收通过。</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 甲方应当根据合同约定及时向乙方支付合同价款，不得以内部人员变更、履行内部付款流程等为由，拒绝或迟延支付。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 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签署合同后，乙方应确定项目负责人（或项目联系人），负责与本合同有关的事务。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5.3乙方有权根据合同约定向甲方收取合同价款。</w:t>
      </w:r>
      <w:r/>
    </w:p>
    <w:p>
      <w:pPr>
        <w:ind w:left="0" w:right="0" w:firstLine="42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5.4国家法律法规规定及</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约定应由乙方承担的其他义务和责任。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6.合同履行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甲乙双方应当按照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约定顺序履行合同义务；如果没有先后顺序的，应当同时履行。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本合同涉及商品包装、快递包装的，除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另有约定外，包装应适应远距离运输、防潮、防震、防锈和防野蛮装卸等要求，确保货物安全无损地运抵</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约定的指定现场。</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除</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另有约定外，乙方负责办理将货物运抵本合同规定的交货地点，并装卸、交付至甲方的一切运输事项，相关费用应包含在合同价款中。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货物保险要求按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7.5 乙方在运输到达之前应提前通知甲方，并提示货物运输装卸的注意事项，甲方配合乙方做好货物的接收工作。</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质量标准</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（2）采用中华人民共和国法定计量单位。</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（3）乙方所提供的货物应符合国家有关安全、环保、卫生的规定。</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保证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规定或乙方书面承诺（两者以较长的为准）的质量保证期内，本保证保持有效。</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（2）在质量保证期内所发现的缺陷，甲方应尽快以书面形式通知乙方。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（3）乙方收到通知后，应在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规定的响应时间内以合理的速度免费维修或更换有缺陷的货物或部件。</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9.权利瑕疵担保</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乙方保证对其出售的货物享有合法的权利。</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乙方保证在交付的货物上不存在抵押权等担保物权。</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 保密义务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 合同价款支付</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合同价款支付按照国库集中支付制度及财政管理相关规定执行。</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履约保证金</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乙方应当以支票、汇票、本票或者金融机构、担保机构出具的保函等非现金形式提交。</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如果乙方出现</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甲方在项目通过验收后按照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规定的时间内将履约保证金退还乙方；逾期退还的，乙方可要求甲方支付违约金，违约金按照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售后服务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除项目不涉及或采购活动中明确约定无须承担外，乙方还应提供下列服务：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（1）货物的现场移动、安装、调试、启动监督及技术支持；</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（2）提供货物组装和维修所需的专用工具和辅助材料；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约定的期限内对所有的货物实施运行监督、维修，但前提条件是该服务并不能免除乙方在质量保证期内所承担的义务；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（4）在制造商所在地或指定现场就货物的安装、启动、运营、维护、废弃处置等对甲方操作人员进行培训；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（5）依照法律、行政法规的规定或者按照</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约定，货物在有效使用年限届满后应予回收的，乙方负有自行或者委托第三人对货物予以回收的义务；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规定由乙方提供的其他服务。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15.1质量瑕疵的违约责任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乙方提供的产品不符合合同约定的质量标准或存在产品质量缺陷，甲方有权要求乙方根据</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要求及时修理、重作、更换，并承担由此给甲方造成的损失。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迟延交货的违约责任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规定执行。如果涉及公共利益，且赔偿金额无法弥补公共利益损失，甲方可要求继续履行或者采取其他补救措施。</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迟延支付的违约责任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甲方存在迟延支付乙方合同款项的，应当承担</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规定的逾期付款利息。</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15.4其他违约责任根据项目实际需要按</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规定执行。</w:t>
      </w:r>
      <w:r/>
    </w:p>
    <w:p>
      <w:pPr>
        <w:numPr>
          <w:ilvl w:val="0"/>
          <w:numId w:val="67"/>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16.1合同的变更</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政府采购合同履行中，在不改变合同其他条款的前提下，甲方可以在合同价款10%的范围内追加与合同标的相同的货物，并就此与乙方协商一致后签订补充协议。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16.2合同的中止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（1）合同履行过程中因供应商就采购文件、采购过程或结果提起投诉的，甲方认为有必要的，可以中止合同的履行。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（4）甲方不得以行政区划调整、政府换届、机构或者职能调整以及相关责任人更替为由中止合同。</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16.3合同的终止</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（1）合同因有效期限届满而终止；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（2）乙方未按合同约定履行，构成根本性违约的，甲方有权终止合同，并追究乙方的违约责任。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涉及国家利益、社会公共利益的情形</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乙方不得将合同转包给其他供应商。涉及合同分包的，乙方应根据采购文件和投标（响应）文件规定进行合同分包。</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不可抗力</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不可抗力是指合同双方不能预见、不能避免且不能克服的客观情况。</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 任何一方对由于不可抗力造成的部分或全部不能履行合同不承担违约责任。但迟延履行后发生不可抗力的，不能免除责任。</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解决争议的方法</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选择仲裁的，应在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中明确仲裁机构及仲裁地；通过诉讼方式解决的，可以在</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中进一步约定选择与争议有实际联系的地点的人民法院管辖，但管辖法院的约定不得违反级别管辖和专属管辖的规定。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本合同应当按照规定执行政府采购政策。</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本合同的订立、生效、解释、履行及与本合同有关的争议解决，均适用法律、行政法规。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22.2 一方当事人变更名称、住所、联系人、联系电话或电子邮箱等信息的，应当在变更后3日内及时书面通知对方，对方实际收到变更通知前的送达仍为有效送达。</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22.3本合同一方给另一方的通知均应采用书面形式，传真或快递送到本合同中规定的对方的地址和办理签收手续。</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22.4通知以送达之日或通知书中规定的生效之日起生效，两者中以较迟之日为准。</w:t>
      </w:r>
      <w:r/>
    </w:p>
    <w:p>
      <w:pPr>
        <w:numPr>
          <w:ilvl w:val="0"/>
          <w:numId w:val="68"/>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23.1合同未尽事项见</w:t>
      </w:r>
      <w:r>
        <w:rPr>
          <w:rFonts w:ascii="SimSun" w:hAnsi="SimSun" w:eastAsia="SimSun" w:cs="SimSun"/>
          <w:b/>
          <w:color w:val="000000"/>
          <w:sz w:val="24"/>
        </w:rPr>
        <w:t xml:space="preserve">【政府采购合同专用条款】</w:t>
      </w:r>
      <w:r>
        <w:rPr>
          <w:rFonts w:ascii="SimSun" w:hAnsi="SimSun" w:eastAsia="SimSun" w:cs="SimSun"/>
          <w:color w:val="000000"/>
          <w:sz w:val="24"/>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23.2 合同附件与合同正文具有同等的法律效力。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第三节 政府采购合同专用条款</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02"/>
        <w:gridCol w:w="1611"/>
        <w:gridCol w:w="4699"/>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包装特殊要求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合同价款支付时间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运行监督、维修期限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修理、重作、更换相关具体规定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第15.2（2）项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迟延交货赔偿费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54" w:right="85" w:hanging="25"/>
              <w:spacing w:before="181"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1、中国政府根据现行税法规定对甲方征收的、与本合同有关的一切税费，均由甲方负担，招标文件另有规定的除外。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终止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1、在甲方对乙方违约而采取的任何补救措施不受影响的情况下，甲方可向乙方发出终止部分或全部合同的书面通知书。</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如果乙方未能按合同规定的期限或甲方同意延长的限期内完成部分或全部服务工作;</w:t>
            </w:r>
            <w:r/>
          </w:p>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乙方在收到甲方发出的违约通知后10天内，或经甲方书面认可延长的时间内未能纠正其过失;</w:t>
            </w:r>
            <w:r/>
          </w:p>
          <w:p>
            <w:pPr>
              <w:ind w:left="66" w:right="0" w:firstLine="0"/>
              <w:spacing w:before="182"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如果乙方未能履行合同规定的其他义务。</w:t>
            </w:r>
            <w:r/>
          </w:p>
          <w:p>
            <w:pPr>
              <w:ind w:left="0" w:right="0" w:firstLine="0"/>
              <w:jc w:val="both"/>
              <w:spacing w:before="0" w:after="0" w:line="32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2</w:t>
            </w:r>
            <w:r>
              <w:rPr>
                <w:rFonts w:ascii="SimSun" w:hAnsi="SimSun" w:eastAsia="SimSun" w:cs="SimSun"/>
                <w:color w:val="000000"/>
                <w:sz w:val="24"/>
              </w:rPr>
              <w:t xml:space="preserve">、在甲方根据上述第1条规定，终止了全部或部分合同后，甲方可以依其认为适当的条件和方法购买与此服务类似的服务，乙方应对甲方购买类似服务所超出的那部分费用负责。但是，乙方应继续执行合同中未终止的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索赔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合同生效及其它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本合同自双方签定之日起生效，至项目实施完成并付清费用结束</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一、项目概况</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丹阳市行政中心</w:t>
      </w:r>
      <w:r>
        <w:rPr>
          <w:rFonts w:ascii="Calibri" w:hAnsi="Calibri" w:eastAsia="Calibri" w:cs="Calibri"/>
          <w:color w:val="000000"/>
          <w:sz w:val="24"/>
        </w:rPr>
        <w:t xml:space="preserve">7</w:t>
      </w:r>
      <w:r>
        <w:rPr>
          <w:rFonts w:ascii="SimSun" w:hAnsi="SimSun" w:eastAsia="SimSun" w:cs="SimSun"/>
          <w:color w:val="000000"/>
          <w:sz w:val="24"/>
        </w:rPr>
        <w:t xml:space="preserve">、</w:t>
      </w:r>
      <w:r>
        <w:rPr>
          <w:rFonts w:ascii="Calibri" w:hAnsi="Calibri" w:eastAsia="Calibri" w:cs="Calibri"/>
          <w:color w:val="000000"/>
          <w:sz w:val="24"/>
        </w:rPr>
        <w:t xml:space="preserve">8</w:t>
      </w:r>
      <w:r>
        <w:rPr>
          <w:rFonts w:ascii="SimSun" w:hAnsi="SimSun" w:eastAsia="SimSun" w:cs="SimSun"/>
          <w:color w:val="000000"/>
          <w:sz w:val="24"/>
        </w:rPr>
        <w:t xml:space="preserve">、</w:t>
      </w:r>
      <w:r>
        <w:rPr>
          <w:rFonts w:ascii="Calibri" w:hAnsi="Calibri" w:eastAsia="Calibri" w:cs="Calibri"/>
          <w:color w:val="000000"/>
          <w:sz w:val="24"/>
        </w:rPr>
        <w:t xml:space="preserve">9</w:t>
      </w:r>
      <w:r>
        <w:rPr>
          <w:rFonts w:ascii="SimSun" w:hAnsi="SimSun" w:eastAsia="SimSun" w:cs="SimSun"/>
          <w:color w:val="000000"/>
          <w:sz w:val="24"/>
        </w:rPr>
        <w:t xml:space="preserve">号电梯，人社局</w:t>
      </w:r>
      <w:r>
        <w:rPr>
          <w:rFonts w:ascii="Calibri" w:hAnsi="Calibri" w:eastAsia="Calibri" w:cs="Calibri"/>
          <w:color w:val="000000"/>
          <w:sz w:val="24"/>
        </w:rPr>
        <w:t xml:space="preserve">2</w:t>
      </w:r>
      <w:r>
        <w:rPr>
          <w:rFonts w:ascii="SimSun" w:hAnsi="SimSun" w:eastAsia="SimSun" w:cs="SimSun"/>
          <w:color w:val="000000"/>
          <w:sz w:val="24"/>
        </w:rPr>
        <w:t xml:space="preserve">台电梯和残联</w:t>
      </w:r>
      <w:r>
        <w:rPr>
          <w:rFonts w:ascii="Calibri" w:hAnsi="Calibri" w:eastAsia="Calibri" w:cs="Calibri"/>
          <w:color w:val="000000"/>
          <w:sz w:val="24"/>
        </w:rPr>
        <w:t xml:space="preserve">1</w:t>
      </w:r>
      <w:r>
        <w:rPr>
          <w:rFonts w:ascii="SimSun" w:hAnsi="SimSun" w:eastAsia="SimSun" w:cs="SimSun"/>
          <w:color w:val="000000"/>
          <w:sz w:val="24"/>
        </w:rPr>
        <w:t xml:space="preserve">台电梯，因使用年限较长，设备磨损老化现象严重，故障率较高，存在较大风险隐患。为保证行政中心、人社局及残联电梯的安全运行，对</w:t>
      </w:r>
      <w:r>
        <w:rPr>
          <w:rFonts w:ascii="Calibri" w:hAnsi="Calibri" w:eastAsia="Calibri" w:cs="Calibri"/>
          <w:color w:val="000000"/>
          <w:sz w:val="24"/>
        </w:rPr>
        <w:t xml:space="preserve">6</w:t>
      </w:r>
      <w:r>
        <w:rPr>
          <w:rFonts w:ascii="SimSun" w:hAnsi="SimSun" w:eastAsia="SimSun" w:cs="SimSun"/>
          <w:color w:val="000000"/>
          <w:sz w:val="24"/>
        </w:rPr>
        <w:t xml:space="preserve">台电梯进行拆除、电梯井道改造、机房改造、新电梯采购、安装、调试、验收及售后服务等。</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本项目所属行业：工业。</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二、采购标的</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（一） 采购标的</w:t>
      </w:r>
      <w:r/>
    </w:p>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1.货物类标的清单:</w:t>
      </w:r>
      <w:r/>
    </w:p>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（1）丹阳市行政服务中心</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9"/>
        <w:gridCol w:w="325"/>
        <w:gridCol w:w="482"/>
        <w:gridCol w:w="731"/>
        <w:gridCol w:w="836"/>
        <w:gridCol w:w="663"/>
        <w:gridCol w:w="480"/>
        <w:gridCol w:w="1112"/>
        <w:gridCol w:w="806"/>
        <w:gridCol w:w="1112"/>
        <w:gridCol w:w="384"/>
      </w:tblGrid>
      <w:tr>
        <w:trPr>
          <w:trHeight w:val="1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井道尺寸（宽×深mm)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数量</w:t>
            </w:r>
            <w:r/>
          </w:p>
        </w:tc>
      </w:tr>
      <w:tr>
        <w:trPr>
          <w:trHeight w:val="1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DT4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highlight w:val="green"/>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2700*2200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1台</w:t>
            </w:r>
            <w:r/>
          </w:p>
        </w:tc>
      </w:tr>
      <w:tr>
        <w:trPr>
          <w:trHeight w:val="19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DT5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highlight w:val="green"/>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2500*2200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1台</w:t>
            </w:r>
            <w:r/>
          </w:p>
        </w:tc>
      </w:tr>
      <w:tr>
        <w:trPr>
          <w:trHeight w:val="15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DT6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highlight w:val="green"/>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1350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36m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2500*2200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1800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1000*2100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1台</w:t>
            </w:r>
            <w:r/>
          </w:p>
        </w:tc>
      </w:tr>
      <w:tr>
        <w:trPr>
          <w:trHeight w:val="984"/>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0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层高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1F：5000 2F:5900 3F：4100 4F-8F:4200 9F：4700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green"/>
              </w:rPr>
              <w:t xml:space="preserve">原电梯为无机房，现更改为有机房，井道机房需整改</w:t>
            </w:r>
            <w:r>
              <w:rPr>
                <w:rFonts w:ascii="SimSun" w:hAnsi="SimSun" w:eastAsia="SimSun" w:cs="SimSun"/>
                <w:color w:val="000000"/>
                <w:sz w:val="24"/>
              </w:rPr>
              <w:t xml:space="preserve">。</w:t>
            </w:r>
            <w:r/>
          </w:p>
        </w:tc>
      </w:tr>
    </w:tbl>
    <w:p>
      <w:pPr>
        <w:ind w:left="0" w:right="0" w:firstLine="4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 丹阳市人力资源和社会保障局</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7"/>
        <w:gridCol w:w="320"/>
        <w:gridCol w:w="498"/>
        <w:gridCol w:w="709"/>
        <w:gridCol w:w="776"/>
        <w:gridCol w:w="708"/>
        <w:gridCol w:w="756"/>
        <w:gridCol w:w="1110"/>
        <w:gridCol w:w="756"/>
        <w:gridCol w:w="1027"/>
        <w:gridCol w:w="367"/>
      </w:tblGrid>
      <w:tr>
        <w:trPr>
          <w:trHeight w:val="6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井道尺寸（宽×深mm)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8层/8站/8门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2300*2300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DT3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9层/9站/9门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32.75m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2300*2300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135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0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北梯：1F-3F：4500 4F-6F:3600 7F:3700  8F：4420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南梯：-1F：4750  1F-3F：4500 4F-6F:3600 7F:3700  8F：4420</w:t>
            </w:r>
            <w:r/>
          </w:p>
        </w:tc>
      </w:tr>
    </w:tbl>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（3） 丹阳市残疾人联合会</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82"/>
        <w:gridCol w:w="562"/>
        <w:gridCol w:w="724"/>
        <w:gridCol w:w="870"/>
        <w:gridCol w:w="876"/>
        <w:gridCol w:w="656"/>
        <w:gridCol w:w="1223"/>
        <w:gridCol w:w="874"/>
        <w:gridCol w:w="1070"/>
        <w:gridCol w:w="410"/>
      </w:tblGrid>
      <w:tr>
        <w:trPr>
          <w:trHeight w:val="62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载重（kg）</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速度（m/s）</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层/站/门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提升高度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井道尺寸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（宽×深mm)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底坑深度（mm）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开门尺寸(mm)</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D1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无机房客梯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6层/6站/6门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18.3m</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900*2100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1台</w:t>
            </w:r>
            <w:r/>
          </w:p>
        </w:tc>
      </w:tr>
      <w:tr>
        <w:trPr>
          <w:trHeight w:val="6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6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层高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1F:3900 2F-5F:3600  6F:4300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原电梯为有机房，因无检修通道，现改为无机房，井道机房需整改</w:t>
            </w:r>
            <w:r/>
          </w:p>
        </w:tc>
      </w:tr>
    </w:tbl>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 </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2.本项目核心产品为：客梯。 </w:t>
      </w:r>
      <w:r/>
    </w:p>
    <w:p>
      <w:pPr>
        <w:numPr>
          <w:ilvl w:val="0"/>
          <w:numId w:val="69"/>
        </w:numPr>
        <w:jc w:val="both"/>
        <w:spacing w:before="0" w:after="0" w:line="439" w:lineRule="atLeast"/>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技术要求</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98"/>
        <w:gridCol w:w="549"/>
        <w:gridCol/>
        <w:gridCol w:w="8057"/>
        <w:gridCol w:w="424"/>
      </w:tblGrid>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464"/>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丹阳市残疾人联合会</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并联控制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单独控制</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停靠楼层</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0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丹阳市行政服务中心：1F~9F</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丹阳市人力资源和社会保障局:1F~8F、-1F~8F</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1F~6F</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电源要求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交流三相380V±7%，50HZ；交流单相220V±7%，50HZ。</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驱动系统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永磁同步无齿轮曳引机。</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▲电梯曳引机主要部件（机座含主轴、曳引轮、制动轮、前支撑）可承受3倍安全系数不被破坏。</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▲电梯的曳引机制动器应根据TSG T7007-2022进行动作寿命测试。电梯驱动主机制动器总成（包括电磁铁、制动弹性元件、机械制动部件、被制动部件、基体部件、电源及控制板、状态检测装置等）应当进行不少于 1800 万次的动作试验，试验过程中不得进行任何维护，试验期间制动器不允许出现任何故障，试验后制动器应能正常动作，且制动器噪音不大于50dB。</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调速方式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交流变频调压控制系统(VVVF)。</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有无机房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有机房</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无机房</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悬挂系统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▲采用复合钢带（包覆带）</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▲配备钢带保护装置。</w:t>
            </w:r>
            <w:r/>
          </w:p>
        </w:tc>
      </w:tr>
      <w:tr>
        <w:trPr>
          <w:trHeight w:val="137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▲微电脑控制，矢量变频调速，双核 32 位处理器；电梯控制柜具备防潮能力，设计有吸潮板、吸潮口，可以适用于湿度较高的工作环境；</w:t>
            </w:r>
            <w:r/>
          </w:p>
        </w:tc>
      </w:tr>
      <w:tr>
        <w:trPr>
          <w:trHeight w:val="3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控制柜，能量回馈功能。</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▲根据所投品牌制造商控制柜需具有抗高低温能力（适应夏天及冬天极端温度情况），控制柜应进行温湿度老化试验：试验温度-20 ℃ ~60℃或更大范围的，试验后控制柜正常动作的。</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▲控制柜需具有电梯安全智能保障系统，试验依据应按照TSG 7007-2022，试验内容需包括制动力监测诊断，轿门锁厅门锁配合监测诊断，空载电流监测诊断。</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信号传输方式</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数字串行通讯。</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门机系统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变频门机系统，调速平滑，运行可靠。</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厅  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304发纹不锈钢；不锈钢厚度≥1.5mm。</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厅门地坎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硬质铝合金</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中分式，304发纹不锈钢。不锈钢厚度≥1.5mm。</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轿门地坎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硬质铝合金</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轿壁</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304发纹不锈钢</w:t>
            </w:r>
            <w:r>
              <w:rPr>
                <w:rFonts w:ascii="SimSun" w:hAnsi="SimSun" w:eastAsia="SimSun" w:cs="SimSun"/>
                <w:color w:val="000000"/>
                <w:sz w:val="24"/>
              </w:rPr>
              <w:t xml:space="preserve">，轿厢后壁为中间侧为镜面不锈钢，不锈钢厚度≥1.5mm；侧壁配置扶手。</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装饰天花板，配有足够亮度的照明，中标供应商提高不少于三套装饰方案供采购方选择。</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地板</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大理石地砖，中标供应商提高不少于三套装饰方案供采购方选择。</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vMerge w:val="restart"/>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轿内操纵箱</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轿厢配置全高一体式操纵盘；</w:t>
            </w:r>
            <w:r/>
          </w:p>
        </w:tc>
      </w:tr>
      <w:tr>
        <w:trPr>
          <w:trHeight w:val="369"/>
        </w:trPr>
        <w:tc>
          <w:tcPr>
            <w:vMerge w:val="continue"/>
            <w:textDirection w:val="lrTb"/>
            <w:noWrap w:val="false"/>
          </w:tcPr>
          <w:p>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微触按钮, 并带运行方向显示，内选纠错功能；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不锈钢按钮带盲文；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液晶显示板，显示运行位置及运动方向；</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配有司机操作、独立操作开关。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标示厂牌、用途、限乘人数、限载人数、限载重量、禁烟标志。</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轿内显示器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▲轿内显示器需具备一定的抗冲击能力，按照GB/T2423.55进行锤击试验后检测结果为合格。</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轿厢尺寸(宽×深×高mm)</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9"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丹阳市行政服务中心：1800*1720*2400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丹阳市人力资源和社会保障局:</w:t>
            </w:r>
            <w:r>
              <w:rPr>
                <w:rFonts w:ascii="SimSun" w:hAnsi="SimSun" w:eastAsia="SimSun" w:cs="SimSun"/>
                <w:color w:val="000000"/>
                <w:sz w:val="24"/>
              </w:rPr>
              <w:t xml:space="preserve">1600*1500*2400</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82"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丹阳市残疾人联合会：</w:t>
            </w:r>
            <w:r>
              <w:rPr>
                <w:rFonts w:ascii="SimSun" w:hAnsi="SimSun" w:eastAsia="SimSun" w:cs="SimSun"/>
                <w:color w:val="000000"/>
                <w:sz w:val="24"/>
              </w:rPr>
              <w:t xml:space="preserve">1600*1500*2400</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按钮</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▲电梯按钮按钮需经过2000万次或以上的寿命测试，试验后按钮的通断功能正常、结构无明显损坏，测试应包含“上行、下行、楼层”按钮。</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轿门光幕</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▲光幕保护、光束大于190束。</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轿厢通风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配电梯专用冷暖空调。</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轿厢照明控制</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基站无呼时轿内照明与风扇自动关闭视频接口；启动补偿。</w:t>
            </w:r>
            <w:r/>
          </w:p>
        </w:tc>
      </w:tr>
      <w:tr>
        <w:trPr>
          <w:trHeight w:val="5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轿厢导靴</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轿厢侧及对重侧配置弹性滚轮导靴。</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厅外召唤</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304发纹不锈钢；与原预留孔匹配；液晶显示运行位置及运动方向，选用微动按钮；基站设有泊梯开关，其中呼梯面板采用与现有面板尺寸一致的整体式面板上有呼梯按钮，数字楼层及运行方向需同时显示。</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摄像监控</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提供轿厢至机房的视频电缆（数字信号）。</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通信系统</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按国家规范要求配置五方通话系统。</w:t>
            </w:r>
            <w:r/>
          </w:p>
        </w:tc>
      </w:tr>
      <w:tr>
        <w:trPr>
          <w:trHeight w:val="8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消防功能</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bottom"/>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按国家规范要求配置消防功能，并设有专门的消防运行状态，在消防状态下由消防员手动运行电梯实行救灾行动；所有电梯须具备消防迫降及信号反馈功能。</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井道照明</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负责井道照明并提供底坑爬梯。</w:t>
            </w:r>
            <w:r/>
          </w:p>
        </w:tc>
      </w:tr>
      <w:tr>
        <w:trPr>
          <w:trHeight w:val="36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导轨</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center"/>
            <w:textDirection w:val="lrTb"/>
            <w:noWrap/>
          </w:tcPr>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主、副均为T型实心导轨；主轨T89及以上（13kg/m 及以上）。</w:t>
            </w:r>
            <w:r/>
          </w:p>
        </w:tc>
      </w:tr>
      <w:tr>
        <w:trPr>
          <w:trHeight w:val="1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8"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功能要求</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30" w:type="dxa"/>
            <w:vAlign w:val="top"/>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直接停靠（节能技术）、 最佳运行曲线自动生成、来电自动恢复运行、轿厢位置自修正、满载直驶、轿内风扇手自动控制、轿内照明自动控制、轿内错误指令取消 、全集选、开门时间可设定、 显示楼层字符可设置、轿内载重补偿、 五方通话、外召按钮粘连去除、 运行计数器、运行计时器、 层高数据自修正、 井道参数自学习、电机参数自学习、 基站锁梯、 自动返基站、消防返基站、电源过电压保护、电动机过流过载保护、 编码器故障保护、 上下行超速保护、运行时间过长保护、轿厢超载保护、 电源缺相错相保护、电动机过热保护、光幕保护、 触点粘</w:t>
            </w:r>
            <w:r>
              <w:rPr>
                <w:rFonts w:ascii="SimSun" w:hAnsi="SimSun" w:eastAsia="SimSun" w:cs="SimSun"/>
                <w:color w:val="000000"/>
                <w:sz w:val="24"/>
              </w:rPr>
              <w:t xml:space="preserve">连保护、运行方向逆转保护、运行终端越程保护、 开门故障它层放客、 轿内应急照明、 报警警铃、 消防状态反馈、故障低速平层、故障记录可查询、 反向指令消除、 非开门区域提供报警。</w:t>
            </w:r>
            <w:r/>
          </w:p>
        </w:tc>
      </w:tr>
    </w:tbl>
    <w:p>
      <w:pPr>
        <w:ind w:left="0" w:right="0" w:firstLine="42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green"/>
        </w:rPr>
        <w:t xml:space="preserve">以上带▲</w:t>
      </w:r>
      <w:r>
        <w:rPr>
          <w:rFonts w:ascii="SimSun" w:hAnsi="SimSun" w:eastAsia="SimSun" w:cs="SimSun"/>
          <w:color w:val="000000"/>
          <w:sz w:val="24"/>
          <w:highlight w:val="green"/>
        </w:rPr>
        <w:t xml:space="preserve">的</w:t>
      </w:r>
      <w:r>
        <w:rPr>
          <w:rFonts w:ascii="SimSun" w:hAnsi="SimSun" w:eastAsia="SimSun" w:cs="SimSun"/>
          <w:color w:val="000000"/>
          <w:sz w:val="24"/>
          <w:highlight w:val="green"/>
        </w:rPr>
        <w:t xml:space="preserve">参数要求须提供制造商《特种设备整机型式试验报告》或国家认可的检验机构出具的报告证书扫描件或复印件加盖投标人公章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三、商务要求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1、完工及质保期：</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（1）完工期：合同签订后30个日历天内完成生产，60个日历天内完成安装调试。</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（2）服务期：项目竣工验收合格后进入质量保修期，免费保修期为2年。（自电梯安装验收合格之日起计算）</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3）保修期内，投标人负责对其所提供的全部软件、硬件、设备及系统其它相关部分，进行免费技术服务、维护、维修，免费提供备品、备件服务，不收取额外费用。因人为因素出现的故障，投标人负责对维修只收取配件成本费用。</w:t>
      </w:r>
      <w:r/>
    </w:p>
    <w:p>
      <w:pPr>
        <w:ind w:left="0" w:right="0" w:firstLine="44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（4）保修期外，终身维修，维修只收取配件成本费用。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2、安装调试及培训：</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（1）供应商负责安装调试；</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（2）供应商须提供全套技术手册和维修手册，并负责使用人员的培训，确保相关人员能够正常使用项目涉及产品的所有功能。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（3）由于项目实施在办公楼内，投标方要充分考虑安全因素。每天施工完成后要及时清理现场，确保不影响后期工作人员出行。施工时投标方必须现场配备安全员，在现场全程监督确保施工安全。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3.调试检测要求：</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（1）安装调试完工后，供应商组织自检，协助买方申请特种设备检验机构检测合格后方可移交。检测所需设备由成交供应商提供。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（2）供应商派遣有丰富经验的工程人员进行检测，并对检测调试错误所导致的设备损坏承担全部赔偿责任。检测调试完毕后，按国家标准验收程序和规程进行验收，双方认可后签字。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4.售后服务：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须提供24小时服务热线，承诺在系统发生故障30分钟内赶到现场。如果在系统发生故障时间段内，未能及时派技术人员到达现场并进行维修，则由采购人组织专业技术人员维修，由此产生的费用由中标供应商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5.现场踏勘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请已获取招标文件的各供应商应前往项目实施地进行现场踏勘，若未参加的现场踏勘，则今后出现与此相关的任何问题由供应商自行承担全部责任和后果。</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李斌联系方式：0511-86923866</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6.报价要求</w:t>
      </w:r>
      <w:r/>
    </w:p>
    <w:p>
      <w:pPr>
        <w:ind w:left="0" w:right="0" w:firstLine="46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总价包干，供应商报价包含全部人工、设备、旧梯拆除、电梯井道改造、电梯机房改造、辅助材料、机械、运输、仓储、保险、安装、安全防护、调试、现场协调、设计费、政府验收费、各种税费、劳保、专利技术、技术支持与培训等完成本项目的一切费用、</w:t>
      </w:r>
      <w:r>
        <w:rPr>
          <w:rFonts w:ascii="SimSun" w:hAnsi="SimSun" w:eastAsia="SimSun" w:cs="SimSun"/>
          <w:color w:val="000000"/>
          <w:sz w:val="24"/>
          <w:highlight w:val="green"/>
        </w:rPr>
        <w:t xml:space="preserve">对大楼现场进行成品保护费用、施工过程中对现场瓷砖大理石造成损坏的修复费用以及夜间施工费用，不在增加额外费用。</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注：</w:t>
      </w:r>
      <w:r>
        <w:rPr>
          <w:rFonts w:ascii="SimSun" w:hAnsi="SimSun" w:eastAsia="SimSun" w:cs="SimSun"/>
          <w:b/>
          <w:color w:val="000000"/>
          <w:sz w:val="24"/>
        </w:rPr>
        <w:t xml:space="preserve">1.</w:t>
      </w:r>
      <w:r>
        <w:rPr>
          <w:rFonts w:ascii="Times New Roman" w:hAnsi="Times New Roman" w:eastAsia="Times New Roman" w:cs="Times New Roman"/>
          <w:b/>
          <w:color w:val="000000"/>
          <w:sz w:val="24"/>
        </w:rPr>
        <w:t xml:space="preserve">符号说明：★表示实质性参数，不满足该指标项将导致投标无效；▲表示重要参数，其他为一般参数。</w:t>
      </w:r>
      <w:r/>
    </w:p>
    <w:p>
      <w:pPr>
        <w:ind w:left="0" w:right="0" w:firstLine="48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2.对项目需求部分的询问、质疑请向采购人提出，询问、质疑由采购人负责解释。</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第五部分评标办法和标准</w:t>
      </w:r>
      <w:r/>
    </w:p>
    <w:p>
      <w:pPr>
        <w:ind w:left="0" w:right="0" w:firstLine="357"/>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25"/>
        <w:gridCol w:w="3947"/>
        <w:gridCol w:w="488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提供2025年度财务报告，成立不满一年的提供至少一个月财务报告，或银行出具的资信证明，或财政部门认可的政府采购专业担保机构出具的投标担保函等；或提供资格承诺函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提供声明函或提供资格承诺函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提供参加本次政府采购活动前半年内（至少一个月）依法缴纳税收和社会保险资金的相关材料；或提供资格承诺函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（1）提供声明函或资格承诺函。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法律、行政法规规定的其他条件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资格承诺函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供应商可自行选择是否提供资格承诺函，若不提供资格承诺函的， 应按采购文件要求提供以上 2-5 项相应的证明材料。资格承诺函格式要求见投标文件组成部分。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2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47"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82"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（1）投标人如为电梯制造商，须具有《中华人民共和国特种设备制造许可证》（电梯）或《中华人民共和国特种设备生产许可证》（电梯）。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r/>
          </w:p>
        </w:tc>
      </w:tr>
    </w:tbl>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4"/>
        <w:gridCol w:w="1626"/>
        <w:gridCol w:w="708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vMerge w:val="restart"/>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投标文件的有效电子签章。</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投标报价。</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未发现属无效投标的情形。</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 w:type="dxa"/>
            <w:vAlign w:val="center"/>
            <w:textDirection w:val="lrTb"/>
            <w:noWrap/>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626"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对招标文件响应程度</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7084"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审查投标文件，以确定其是否满足招标文件的实质性要求。不满足招标文件的实质性要求的，投标无效。</w:t>
            </w:r>
            <w:r/>
          </w:p>
        </w:tc>
      </w:tr>
    </w:tbl>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8.本项目采用综合评分法。</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01"/>
        <w:gridCol w:w="2733"/>
        <w:gridCol w:w="2613"/>
        <w:gridCol w:w="2008"/>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评分项目</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技术评估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商务评估</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00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73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42.0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61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00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（一）技术评估</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1"/>
        <w:gridCol w:w="511"/>
        <w:gridCol w:w="8470"/>
        <w:gridCol w:w="173"/>
      </w:tblGrid>
      <w:tr>
        <w:trPr>
          <w:trHeight w:val="816"/>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1" w:type="dxa"/>
            <w:vAlign w:val="top"/>
            <w:textDirection w:val="lrTb"/>
            <w:noWrap/>
          </w:tcPr>
          <w:p>
            <w:pPr>
              <w:ind w:left="135"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11" w:type="dxa"/>
            <w:vAlign w:val="top"/>
            <w:textDirection w:val="lrTb"/>
            <w:noWrap/>
          </w:tcPr>
          <w:p>
            <w:pPr>
              <w:ind w:left="183" w:right="154" w:hanging="17"/>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评审</w:t>
            </w:r>
            <w:r>
              <w:rPr>
                <w:rFonts w:ascii="SimSun" w:hAnsi="SimSun" w:eastAsia="SimSun" w:cs="SimSun"/>
                <w:color w:val="000000"/>
                <w:spacing w:val="-13"/>
                <w:sz w:val="22"/>
              </w:rPr>
              <w:t xml:space="preserve">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70" w:type="dxa"/>
            <w:vAlign w:val="top"/>
            <w:textDirection w:val="lrTb"/>
            <w:noWrap/>
          </w:tcPr>
          <w:p>
            <w:pPr>
              <w:ind w:left="3397"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 w:type="dxa"/>
            <w:vAlign w:val="top"/>
            <w:textDirection w:val="lrTb"/>
            <w:noWrap/>
          </w:tcPr>
          <w:p>
            <w:pPr>
              <w:ind w:left="123"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分值</w:t>
            </w:r>
            <w:r/>
          </w:p>
        </w:tc>
      </w:tr>
      <w:tr>
        <w:trPr>
          <w:trHeight w:val="50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2" w:type="dxa"/>
            <w:vAlign w:val="top"/>
            <w:textDirection w:val="lrTb"/>
            <w:noWrap/>
          </w:tcPr>
          <w:p>
            <w:pPr>
              <w:ind w:left="4064"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技术部分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 w:type="dxa"/>
            <w:vAlign w:val="top"/>
            <w:textDirection w:val="lrTb"/>
            <w:noWrap/>
          </w:tcPr>
          <w:p>
            <w:pPr>
              <w:ind w:left="123" w:right="0" w:firstLine="0"/>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42.</w:t>
            </w:r>
            <w:r>
              <w:rPr>
                <w:rFonts w:ascii="Times New Roman" w:hAnsi="Times New Roman" w:eastAsia="Times New Roman" w:cs="Times New Roman"/>
                <w:color w:val="000000"/>
                <w:spacing w:val="-3"/>
                <w:sz w:val="21"/>
              </w:rPr>
              <w:t xml:space="preserve">0</w:t>
            </w:r>
            <w:r/>
          </w:p>
        </w:tc>
      </w:tr>
      <w:tr>
        <w:trPr>
          <w:trHeight w:val="81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 w:type="dxa"/>
            <w:vAlign w:val="center"/>
            <w:textDirection w:val="lrTb"/>
            <w:noWrap/>
          </w:tcPr>
          <w:p>
            <w:pPr>
              <w:ind w:left="0"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 w:type="dxa"/>
            <w:vAlign w:val="center"/>
            <w:textDirection w:val="lrTb"/>
            <w:noWrap/>
          </w:tcPr>
          <w:p>
            <w:pPr>
              <w:ind w:left="0" w:right="154" w:firstLine="0"/>
              <w:jc w:val="center"/>
              <w:spacing w:before="157" w:after="157"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技术参数的响</w:t>
            </w:r>
            <w:r>
              <w:rPr>
                <w:rFonts w:ascii="SimSun" w:hAnsi="SimSun" w:eastAsia="SimSun" w:cs="SimSun"/>
                <w:color w:val="000000"/>
                <w:spacing w:val="32"/>
                <w:sz w:val="22"/>
              </w:rPr>
              <w:t xml:space="preserve">应</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470" w:type="dxa"/>
            <w:vAlign w:val="center"/>
            <w:textDirection w:val="lrTb"/>
            <w:noWrap/>
          </w:tcPr>
          <w:p>
            <w:pPr>
              <w:ind w:left="0" w:right="0" w:firstLine="0"/>
              <w:jc w:val="center"/>
              <w:spacing w:before="157" w:after="157"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针对采购文件对设备技术要求的描述，根据各供应商提交的投标文件中的产品相关描述对采购文件技术标“▲”的功能及技术参数进行评审，有一项负偏离扣3分；</w:t>
            </w:r>
            <w:r>
              <w:rPr>
                <w:rFonts w:ascii="SimSun" w:hAnsi="SimSun" w:eastAsia="SimSun" w:cs="SimSun"/>
                <w:color w:val="000000"/>
                <w:spacing w:val="-2"/>
                <w:sz w:val="22"/>
                <w:highlight w:val="green"/>
              </w:rPr>
              <w:t xml:space="preserve">（共30分）（须提供制造商《特种设备整机型式试验报告》或国家认可的检验机构出具的报告证书扫描件或复印件加盖投标人公章）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3" w:type="dxa"/>
            <w:vAlign w:val="center"/>
            <w:textDirection w:val="lrTb"/>
            <w:noWrap/>
          </w:tcPr>
          <w:p>
            <w:pPr>
              <w:ind w:left="0"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30</w:t>
            </w:r>
            <w:r>
              <w:rPr>
                <w:rFonts w:ascii="Times New Roman" w:hAnsi="Times New Roman" w:eastAsia="Times New Roman" w:cs="Times New Roman"/>
                <w:color w:val="000000"/>
                <w:spacing w:val="-5"/>
                <w:sz w:val="21"/>
              </w:rPr>
              <w:t xml:space="preserve">.0</w:t>
            </w:r>
            <w:r/>
          </w:p>
        </w:tc>
      </w:tr>
      <w:tr>
        <w:trPr>
          <w:trHeight w:val="411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1" w:type="dxa"/>
            <w:vAlign w:val="center"/>
            <w:textDirection w:val="lrTb"/>
            <w:noWrap/>
          </w:tcPr>
          <w:p>
            <w:pPr>
              <w:ind w:left="143"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11" w:type="dxa"/>
            <w:vAlign w:val="center"/>
            <w:textDirection w:val="lrTb"/>
            <w:noWrap/>
          </w:tcPr>
          <w:p>
            <w:pPr>
              <w:ind w:left="168"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主要</w:t>
            </w:r>
            <w:r>
              <w:rPr>
                <w:rFonts w:ascii="SimSun" w:hAnsi="SimSun" w:eastAsia="SimSun" w:cs="SimSun"/>
                <w:color w:val="000000"/>
                <w:spacing w:val="-6"/>
                <w:sz w:val="22"/>
              </w:rPr>
              <w:t xml:space="preserve">部件</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470" w:type="dxa"/>
            <w:vAlign w:val="top"/>
            <w:textDirection w:val="lrTb"/>
            <w:noWrap/>
          </w:tcPr>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4"/>
                <w:sz w:val="21"/>
              </w:rPr>
              <w:t xml:space="preserve">1</w:t>
            </w:r>
            <w:r>
              <w:rPr>
                <w:rFonts w:ascii="SimSun" w:hAnsi="SimSun" w:eastAsia="SimSun" w:cs="SimSun"/>
                <w:color w:val="000000"/>
                <w:spacing w:val="-4"/>
                <w:sz w:val="22"/>
              </w:rPr>
              <w:t xml:space="preserve">）客梯驱动主机与控制系统与电梯整梯为同一品牌的得</w:t>
            </w:r>
            <w:r>
              <w:rPr>
                <w:rFonts w:ascii="Times New Roman" w:hAnsi="Times New Roman" w:eastAsia="Times New Roman" w:cs="Times New Roman"/>
                <w:color w:val="000000"/>
                <w:spacing w:val="-4"/>
                <w:sz w:val="22"/>
              </w:rPr>
              <w:t xml:space="preserve">2</w:t>
            </w:r>
            <w:r>
              <w:rPr>
                <w:rFonts w:ascii="SimSun" w:hAnsi="SimSun" w:eastAsia="SimSun" w:cs="SimSun"/>
                <w:color w:val="000000"/>
                <w:spacing w:val="-4"/>
                <w:sz w:val="22"/>
              </w:rPr>
              <w:t xml:space="preserve">分，否则不得分。</w:t>
            </w:r>
            <w:r>
              <w:rPr>
                <w:rFonts w:ascii="SimSun" w:hAnsi="SimSun" w:eastAsia="SimSun" w:cs="SimSun"/>
                <w:color w:val="000000"/>
                <w:spacing w:val="-1"/>
                <w:sz w:val="22"/>
              </w:rPr>
              <w:t xml:space="preserve">（须提供整机型式试验报告扫描件或复印件加盖投标人公章，不提供不得分）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2</w:t>
            </w:r>
            <w:r>
              <w:rPr>
                <w:rFonts w:ascii="SimSun" w:hAnsi="SimSun" w:eastAsia="SimSun" w:cs="SimSun"/>
                <w:color w:val="000000"/>
                <w:spacing w:val="-3"/>
                <w:sz w:val="22"/>
              </w:rPr>
              <w:t xml:space="preserve">）</w:t>
            </w:r>
            <w:r>
              <w:rPr>
                <w:rFonts w:ascii="SimSun" w:hAnsi="SimSun" w:eastAsia="SimSun" w:cs="SimSun"/>
                <w:color w:val="000000"/>
                <w:spacing w:val="-4"/>
                <w:sz w:val="22"/>
              </w:rPr>
              <w:t xml:space="preserve">客梯</w:t>
            </w:r>
            <w:r>
              <w:rPr>
                <w:rFonts w:ascii="SimSun" w:hAnsi="SimSun" w:eastAsia="SimSun" w:cs="SimSun"/>
                <w:color w:val="000000"/>
                <w:spacing w:val="-3"/>
                <w:sz w:val="22"/>
              </w:rPr>
              <w:t xml:space="preserve">包覆带</w:t>
            </w:r>
            <w:r>
              <w:rPr>
                <w:rFonts w:ascii="SimSun" w:hAnsi="SimSun" w:eastAsia="SimSun" w:cs="SimSun"/>
                <w:color w:val="000000"/>
                <w:spacing w:val="-4"/>
                <w:sz w:val="22"/>
              </w:rPr>
              <w:t xml:space="preserve">与电梯整梯为同一品牌</w:t>
            </w:r>
            <w:r>
              <w:rPr>
                <w:rFonts w:ascii="SimSun" w:hAnsi="SimSun" w:eastAsia="SimSun" w:cs="SimSun"/>
                <w:color w:val="000000"/>
                <w:spacing w:val="-3"/>
                <w:sz w:val="22"/>
              </w:rPr>
              <w:t xml:space="preserve">的得</w:t>
            </w:r>
            <w:r>
              <w:rPr>
                <w:rFonts w:ascii="Times New Roman" w:hAnsi="Times New Roman" w:eastAsia="Times New Roman" w:cs="Times New Roman"/>
                <w:color w:val="000000"/>
                <w:spacing w:val="-3"/>
                <w:sz w:val="21"/>
              </w:rPr>
              <w:t xml:space="preserve">2</w:t>
            </w:r>
            <w:r>
              <w:rPr>
                <w:rFonts w:ascii="SimSun" w:hAnsi="SimSun" w:eastAsia="SimSun" w:cs="SimSun"/>
                <w:color w:val="000000"/>
                <w:spacing w:val="-3"/>
                <w:sz w:val="22"/>
              </w:rPr>
              <w:t xml:space="preserve">分，否则不得分。</w:t>
            </w:r>
            <w:r>
              <w:rPr>
                <w:rFonts w:ascii="SimSun" w:hAnsi="SimSun" w:eastAsia="SimSun" w:cs="SimSun"/>
                <w:color w:val="000000"/>
                <w:spacing w:val="-1"/>
                <w:sz w:val="22"/>
              </w:rPr>
              <w:t xml:space="preserve">（须提供整机型式试验报告扫描件或复印件加盖投标人公章，不提供不得分）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2"/>
              </w:rPr>
              <w:t xml:space="preserve">3</w:t>
            </w:r>
            <w:r>
              <w:rPr>
                <w:rFonts w:ascii="SimSun" w:hAnsi="SimSun" w:eastAsia="SimSun" w:cs="SimSun"/>
                <w:color w:val="000000"/>
                <w:spacing w:val="-1"/>
                <w:sz w:val="22"/>
              </w:rPr>
              <w:t xml:space="preserve">）所投型号客梯的外召唤、操纵箱、轿顶集成箱达到防水等级</w:t>
            </w:r>
            <w:r>
              <w:rPr>
                <w:rFonts w:ascii="Times New Roman" w:hAnsi="Times New Roman" w:eastAsia="Times New Roman" w:cs="Times New Roman"/>
                <w:color w:val="000000"/>
                <w:spacing w:val="-1"/>
                <w:sz w:val="22"/>
              </w:rPr>
              <w:t xml:space="preserve">IPX3</w:t>
            </w:r>
            <w:r>
              <w:rPr>
                <w:rFonts w:ascii="SimSun" w:hAnsi="SimSun" w:eastAsia="SimSun" w:cs="SimSun"/>
                <w:color w:val="000000"/>
                <w:spacing w:val="-1"/>
                <w:sz w:val="22"/>
              </w:rPr>
              <w:t xml:space="preserve">的，每有一个满足的得</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分，最高得</w:t>
            </w:r>
            <w:r>
              <w:rPr>
                <w:rFonts w:ascii="Times New Roman" w:hAnsi="Times New Roman" w:eastAsia="Times New Roman" w:cs="Times New Roman"/>
                <w:color w:val="000000"/>
                <w:spacing w:val="-1"/>
                <w:sz w:val="22"/>
              </w:rPr>
              <w:t xml:space="preserve">6</w:t>
            </w:r>
            <w:r>
              <w:rPr>
                <w:rFonts w:ascii="SimSun" w:hAnsi="SimSun" w:eastAsia="SimSun" w:cs="SimSun"/>
                <w:color w:val="000000"/>
                <w:spacing w:val="-1"/>
                <w:sz w:val="22"/>
              </w:rPr>
              <w:t xml:space="preserve">分。（提供国家认可的检测机构出具的检测报告扫描件或复印件加盖投标人公章，不提供不得分）</w:t>
            </w:r>
            <w:r/>
          </w:p>
          <w:p>
            <w:pPr>
              <w:ind w:left="0" w:right="0" w:firstLine="0"/>
              <w:spacing w:before="157" w:after="157"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1"/>
                <w:sz w:val="22"/>
              </w:rPr>
              <w:t xml:space="preserve">4</w:t>
            </w:r>
            <w:r>
              <w:rPr>
                <w:rFonts w:ascii="SimSun" w:hAnsi="SimSun" w:eastAsia="SimSun" w:cs="SimSun"/>
                <w:color w:val="000000"/>
                <w:spacing w:val="-1"/>
                <w:sz w:val="22"/>
              </w:rPr>
              <w:t xml:space="preserve">）所投型号客梯的门机达到防护等级</w:t>
            </w:r>
            <w:r>
              <w:rPr>
                <w:rFonts w:ascii="Times New Roman" w:hAnsi="Times New Roman" w:eastAsia="Times New Roman" w:cs="Times New Roman"/>
                <w:color w:val="000000"/>
                <w:spacing w:val="-1"/>
                <w:sz w:val="22"/>
              </w:rPr>
              <w:t xml:space="preserve">IP65</w:t>
            </w:r>
            <w:r>
              <w:rPr>
                <w:rFonts w:ascii="SimSun" w:hAnsi="SimSun" w:eastAsia="SimSun" w:cs="SimSun"/>
                <w:color w:val="000000"/>
                <w:spacing w:val="-1"/>
                <w:sz w:val="22"/>
              </w:rPr>
              <w:t xml:space="preserve">的得</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分。（提供国家认可的检测机构出具的检测报告扫描件或复印件加盖投标人公章，不提供不得分）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3" w:type="dxa"/>
            <w:vAlign w:val="center"/>
            <w:textDirection w:val="lrTb"/>
            <w:noWrap/>
          </w:tcPr>
          <w:p>
            <w:pPr>
              <w:ind w:left="136" w:right="0" w:firstLine="0"/>
              <w:jc w:val="center"/>
              <w:spacing w:before="157" w:after="157"/>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12</w:t>
            </w:r>
            <w:r>
              <w:rPr>
                <w:rFonts w:ascii="Times New Roman" w:hAnsi="Times New Roman" w:eastAsia="Times New Roman" w:cs="Times New Roman"/>
                <w:color w:val="000000"/>
                <w:spacing w:val="-5"/>
                <w:sz w:val="21"/>
              </w:rPr>
              <w:t xml:space="preserve">.0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（二） 商务评估</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9"/>
        <w:gridCol w:w="267"/>
        <w:gridCol w:w="8819"/>
        <w:gridCol w:w="123"/>
      </w:tblGrid>
      <w:tr>
        <w:trPr>
          <w:trHeight w:val="817"/>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35" w:right="0" w:firstLine="0"/>
              <w:spacing w:before="17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w:t>
            </w:r>
            <w:r>
              <w:rPr>
                <w:rFonts w:ascii="Times New Roman" w:hAnsi="Times New Roman" w:eastAsia="Times New Roman" w:cs="Times New Roman"/>
                <w:color w:val="000000"/>
                <w:sz w:val="21"/>
              </w:rPr>
              <w:t xml:space="preserve"> </w:t>
            </w:r>
            <w:r>
              <w:rPr>
                <w:rFonts w:ascii="SimSun" w:hAnsi="SimSun" w:eastAsia="SimSun" w:cs="SimSun"/>
                <w:color w:val="000000"/>
                <w:sz w:val="22"/>
              </w:rPr>
              <w:t xml:space="preserve">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 w:type="dxa"/>
            <w:vAlign w:val="top"/>
            <w:textDirection w:val="lrTb"/>
            <w:noWrap/>
          </w:tcPr>
          <w:p>
            <w:pPr>
              <w:ind w:left="198" w:right="184" w:hanging="17"/>
              <w:spacing w:before="135" w:after="240"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2"/>
              </w:rPr>
              <w:t xml:space="preserve">评审</w:t>
            </w:r>
            <w:r>
              <w:rPr>
                <w:rFonts w:ascii="SimSun" w:hAnsi="SimSun" w:eastAsia="SimSun" w:cs="SimSun"/>
                <w:color w:val="000000"/>
                <w:spacing w:val="-13"/>
                <w:sz w:val="22"/>
              </w:rPr>
              <w:t xml:space="preserve">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3367" w:right="0" w:firstLine="0"/>
              <w:spacing w:before="285"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23" w:right="0" w:firstLine="0"/>
              <w:spacing w:before="284"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2"/>
              </w:rPr>
              <w:t xml:space="preserve">分值</w:t>
            </w:r>
            <w:r/>
          </w:p>
        </w:tc>
      </w:tr>
      <w:tr>
        <w:trPr>
          <w:trHeight w:val="509"/>
        </w:trPr>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25" w:type="dxa"/>
            <w:vAlign w:val="top"/>
            <w:textDirection w:val="lrTb"/>
            <w:noWrap/>
          </w:tcPr>
          <w:p>
            <w:pPr>
              <w:ind w:left="3856" w:right="0" w:firstLine="0"/>
              <w:spacing w:before="128"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履约能力评价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36" w:right="0" w:firstLine="0"/>
              <w:spacing w:before="12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5"/>
                <w:sz w:val="22"/>
              </w:rPr>
              <w:t xml:space="preserve">28.0</w:t>
            </w:r>
            <w:r/>
          </w:p>
        </w:tc>
      </w:tr>
      <w:tr>
        <w:trPr>
          <w:trHeight w:val="137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vMerge w:val="restart"/>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vMerge w:val="restart"/>
            <w:textDirection w:val="lrTb"/>
            <w:noWrap/>
          </w:tcPr>
          <w:p>
            <w:pPr>
              <w:ind w:left="0"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实施</w:t>
            </w:r>
            <w:r>
              <w:rPr>
                <w:rFonts w:ascii="SimSun" w:hAnsi="SimSun" w:eastAsia="SimSun" w:cs="SimSun"/>
                <w:color w:val="000000"/>
                <w:spacing w:val="-5"/>
                <w:sz w:val="22"/>
              </w:rPr>
              <w:t xml:space="preserve">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投标人提供针对本项目制定的安装方案，考察方案是否包含：</w:t>
            </w:r>
            <w:r>
              <w:rPr>
                <w:rFonts w:ascii="SimSun" w:hAnsi="SimSun" w:eastAsia="SimSun" w:cs="SimSun"/>
                <w:color w:val="000000"/>
                <w:spacing w:val="-2"/>
                <w:sz w:val="22"/>
              </w:rPr>
              <w:t xml:space="preserve">组织方案及进度计划、安装质量保证措施、安装应急预案。上述每项应逐条叙述，方案中每提供一项内容且符合服务需求的，得</w:t>
            </w: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2"/>
              </w:rPr>
              <w:t xml:space="preserve">分，最高得</w:t>
            </w:r>
            <w:r>
              <w:rPr>
                <w:rFonts w:ascii="Times New Roman" w:hAnsi="Times New Roman" w:eastAsia="Times New Roman" w:cs="Times New Roman"/>
                <w:color w:val="000000"/>
                <w:spacing w:val="-2"/>
                <w:sz w:val="22"/>
              </w:rPr>
              <w:t xml:space="preserve">3</w:t>
            </w:r>
            <w:r>
              <w:rPr>
                <w:rFonts w:ascii="SimSun" w:hAnsi="SimSun" w:eastAsia="SimSun" w:cs="SimSun"/>
                <w:color w:val="000000"/>
                <w:spacing w:val="-2"/>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37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投标人提供针对本项目制定的安装保障方案，考察方案是否包含：</w:t>
            </w:r>
            <w:r>
              <w:rPr>
                <w:rFonts w:ascii="SimSun" w:hAnsi="SimSun" w:eastAsia="SimSun" w:cs="SimSun"/>
                <w:color w:val="000000"/>
                <w:spacing w:val="-2"/>
                <w:sz w:val="22"/>
              </w:rPr>
              <w:t xml:space="preserve">文明施工保障体系、施工资料管理、检测方案。上述每项应逐条叙述，方案中每提供一项内容且符合服务需求的，得</w:t>
            </w:r>
            <w:r>
              <w:rPr>
                <w:rFonts w:ascii="Times New Roman" w:hAnsi="Times New Roman" w:eastAsia="Times New Roman" w:cs="Times New Roman"/>
                <w:color w:val="000000"/>
                <w:spacing w:val="-2"/>
                <w:sz w:val="21"/>
              </w:rPr>
              <w:t xml:space="preserve">1</w:t>
            </w:r>
            <w:r>
              <w:rPr>
                <w:rFonts w:ascii="SimSun" w:hAnsi="SimSun" w:eastAsia="SimSun" w:cs="SimSun"/>
                <w:color w:val="000000"/>
                <w:spacing w:val="-2"/>
                <w:sz w:val="22"/>
              </w:rPr>
              <w:t xml:space="preserve">分，最高得</w:t>
            </w:r>
            <w:r>
              <w:rPr>
                <w:rFonts w:ascii="Times New Roman" w:hAnsi="Times New Roman" w:eastAsia="Times New Roman" w:cs="Times New Roman"/>
                <w:color w:val="000000"/>
                <w:spacing w:val="-2"/>
                <w:sz w:val="22"/>
              </w:rPr>
              <w:t xml:space="preserve">3</w:t>
            </w:r>
            <w:r>
              <w:rPr>
                <w:rFonts w:ascii="SimSun" w:hAnsi="SimSun" w:eastAsia="SimSun" w:cs="SimSun"/>
                <w:color w:val="000000"/>
                <w:spacing w:val="-2"/>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vMerge w:val="restart"/>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vMerge w:val="restart"/>
            <w:textDirection w:val="lrTb"/>
            <w:noWrap/>
          </w:tcPr>
          <w:p>
            <w:pPr>
              <w:ind w:left="0" w:right="154" w:firstLine="0"/>
              <w:jc w:val="center"/>
              <w:spacing w:before="157" w:after="157" w:line="6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售后服务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投标人提供针对本项目制定的维保方案，考察方案是否包含：维修保养方案、售后服务体系及范围、应急响应时间措施。上述每项应逐条叙述，方案中每提供一项内容且符合服务需求的，得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339"/>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投标人提供针对本项目制定的故障应急处理方案，考察方案是否包含：故障解决方案、应急处理方案、专业技术人员保障。上述每项应逐条叙述，方案中每提供一项内容且符合服务需求的，得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分，最高得</w:t>
            </w:r>
            <w:r>
              <w:rPr>
                <w:rFonts w:ascii="Times New Roman" w:hAnsi="Times New Roman" w:eastAsia="Times New Roman" w:cs="Times New Roman"/>
                <w:color w:val="000000"/>
                <w:sz w:val="22"/>
              </w:rPr>
              <w:t xml:space="preserve">3</w:t>
            </w:r>
            <w:r>
              <w:rPr>
                <w:rFonts w:ascii="SimSun" w:hAnsi="SimSun" w:eastAsia="SimSun" w:cs="SimSun"/>
                <w:color w:val="000000"/>
                <w:sz w:val="22"/>
              </w:rPr>
              <w:t xml:space="preserve">分。每有一项存在涉及的规范及标准错误，地点区域错误，内容缺项、表述不完整，内容存在逻辑漏洞、常识错误，方案内容表述前后矛盾，方案内容不适用本项目特性，非专门针对本项目制定等情形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center"/>
              <w:spacing w:before="157" w:after="157"/>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w:t>
            </w:r>
            <w:r/>
          </w:p>
        </w:tc>
      </w:tr>
      <w:tr>
        <w:trPr>
          <w:trHeight w:val="15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14" w:right="0" w:firstLine="0"/>
              <w:jc w:val="both"/>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电梯责任险</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center"/>
            <w:textDirection w:val="lrTb"/>
            <w:noWrap/>
          </w:tcPr>
          <w:p>
            <w:pPr>
              <w:ind w:left="0"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所投型号电梯制造商为其产品投保了电梯责任保险的得</w:t>
            </w:r>
            <w:r>
              <w:rPr>
                <w:rFonts w:ascii="Times New Roman" w:hAnsi="Times New Roman" w:eastAsia="Times New Roman" w:cs="Times New Roman"/>
                <w:color w:val="000000"/>
                <w:spacing w:val="-1"/>
                <w:sz w:val="22"/>
              </w:rPr>
              <w:t xml:space="preserve">1</w:t>
            </w:r>
            <w:r>
              <w:rPr>
                <w:rFonts w:ascii="SimSun" w:hAnsi="SimSun" w:eastAsia="SimSun" w:cs="SimSun"/>
                <w:color w:val="000000"/>
                <w:spacing w:val="-1"/>
                <w:sz w:val="22"/>
              </w:rPr>
              <w:t xml:space="preserve">分，每次事故赔偿额≥</w:t>
            </w:r>
            <w:r>
              <w:rPr>
                <w:rFonts w:ascii="Times New Roman" w:hAnsi="Times New Roman" w:eastAsia="Times New Roman" w:cs="Times New Roman"/>
                <w:color w:val="000000"/>
                <w:spacing w:val="-1"/>
                <w:sz w:val="22"/>
              </w:rPr>
              <w:t xml:space="preserve">1000</w:t>
            </w:r>
            <w:r>
              <w:rPr>
                <w:rFonts w:ascii="SimSun" w:hAnsi="SimSun" w:eastAsia="SimSun" w:cs="SimSun"/>
                <w:color w:val="000000"/>
                <w:spacing w:val="-1"/>
                <w:sz w:val="22"/>
              </w:rPr>
              <w:t xml:space="preserve">万的得</w:t>
            </w:r>
            <w:r>
              <w:rPr>
                <w:rFonts w:ascii="Times New Roman" w:hAnsi="Times New Roman" w:eastAsia="Times New Roman" w:cs="Times New Roman"/>
                <w:color w:val="000000"/>
                <w:spacing w:val="-1"/>
                <w:sz w:val="22"/>
              </w:rPr>
              <w:t xml:space="preserve">1</w:t>
            </w:r>
            <w:r>
              <w:rPr>
                <w:rFonts w:ascii="SimSun" w:hAnsi="SimSun" w:eastAsia="SimSun" w:cs="SimSun"/>
                <w:color w:val="000000"/>
                <w:spacing w:val="-1"/>
                <w:sz w:val="22"/>
              </w:rPr>
              <w:t xml:space="preserve">分，本项最高</w:t>
            </w:r>
            <w:r>
              <w:rPr>
                <w:rFonts w:ascii="Times New Roman" w:hAnsi="Times New Roman" w:eastAsia="Times New Roman" w:cs="Times New Roman"/>
                <w:color w:val="000000"/>
                <w:spacing w:val="-1"/>
                <w:sz w:val="22"/>
              </w:rPr>
              <w:t xml:space="preserve">2</w:t>
            </w:r>
            <w:r>
              <w:rPr>
                <w:rFonts w:ascii="SimSun" w:hAnsi="SimSun" w:eastAsia="SimSun" w:cs="SimSun"/>
                <w:color w:val="000000"/>
                <w:spacing w:val="-1"/>
                <w:sz w:val="22"/>
              </w:rPr>
              <w:t xml:space="preserve">分。</w:t>
            </w:r>
            <w:r/>
          </w:p>
          <w:p>
            <w:pPr>
              <w:ind w:left="0" w:right="0" w:firstLine="0"/>
              <w:jc w:val="both"/>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（须提供保单复印件或扫描件。以上证明材料应加盖投标人公章，未按要求提供不得分。）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2.0</w:t>
            </w:r>
            <w:r/>
          </w:p>
        </w:tc>
      </w:tr>
      <w:tr>
        <w:trPr>
          <w:trHeight w:val="8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43"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1"/>
              </w:rPr>
              <w:t xml:space="preserve">1.</w:t>
            </w:r>
            <w:r>
              <w:rPr>
                <w:rFonts w:ascii="Times New Roman" w:hAnsi="Times New Roman" w:eastAsia="Times New Roman" w:cs="Times New Roman"/>
                <w:color w:val="000000"/>
                <w:spacing w:val="-6"/>
                <w:sz w:val="22"/>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经验评价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43" w:right="0" w:firstLine="0"/>
              <w:spacing w:before="131"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自</w:t>
            </w:r>
            <w:r>
              <w:rPr>
                <w:rFonts w:ascii="Times New Roman" w:hAnsi="Times New Roman" w:eastAsia="Times New Roman" w:cs="Times New Roman"/>
                <w:color w:val="000000"/>
                <w:spacing w:val="-5"/>
                <w:sz w:val="21"/>
              </w:rPr>
              <w:t xml:space="preserve">20</w:t>
            </w:r>
            <w:r>
              <w:rPr>
                <w:rFonts w:ascii="Times New Roman" w:hAnsi="Times New Roman" w:eastAsia="Times New Roman" w:cs="Times New Roman"/>
                <w:color w:val="000000"/>
                <w:spacing w:val="-5"/>
                <w:sz w:val="22"/>
              </w:rPr>
              <w:t xml:space="preserve">22</w:t>
            </w:r>
            <w:r>
              <w:rPr>
                <w:rFonts w:ascii="SimSun" w:hAnsi="SimSun" w:eastAsia="SimSun" w:cs="SimSun"/>
                <w:color w:val="000000"/>
                <w:spacing w:val="-5"/>
                <w:sz w:val="22"/>
              </w:rPr>
              <w:t xml:space="preserve">年</w:t>
            </w:r>
            <w:r>
              <w:rPr>
                <w:rFonts w:ascii="Times New Roman" w:hAnsi="Times New Roman" w:eastAsia="Times New Roman" w:cs="Times New Roman"/>
                <w:color w:val="000000"/>
                <w:spacing w:val="-5"/>
                <w:sz w:val="21"/>
              </w:rPr>
              <w:t xml:space="preserve">1</w:t>
            </w:r>
            <w:r>
              <w:rPr>
                <w:rFonts w:ascii="SimSun" w:hAnsi="SimSun" w:eastAsia="SimSun" w:cs="SimSun"/>
                <w:color w:val="000000"/>
                <w:spacing w:val="-5"/>
                <w:sz w:val="22"/>
              </w:rPr>
              <w:t xml:space="preserve">月</w:t>
            </w:r>
            <w:r>
              <w:rPr>
                <w:rFonts w:ascii="Times New Roman" w:hAnsi="Times New Roman" w:eastAsia="Times New Roman" w:cs="Times New Roman"/>
                <w:color w:val="000000"/>
                <w:spacing w:val="-5"/>
                <w:sz w:val="22"/>
              </w:rPr>
              <w:t xml:space="preserve">1 </w:t>
            </w:r>
            <w:r>
              <w:rPr>
                <w:rFonts w:ascii="SimSun" w:hAnsi="SimSun" w:eastAsia="SimSun" w:cs="SimSun"/>
                <w:color w:val="000000"/>
                <w:spacing w:val="-5"/>
                <w:sz w:val="22"/>
              </w:rPr>
              <w:t xml:space="preserve">日起算，投标人实施过的类似的</w:t>
            </w:r>
            <w:r>
              <w:rPr>
                <w:rFonts w:ascii="SimSun" w:hAnsi="SimSun" w:eastAsia="SimSun" w:cs="SimSun"/>
                <w:color w:val="000000"/>
                <w:spacing w:val="-6"/>
                <w:sz w:val="22"/>
              </w:rPr>
              <w:t xml:space="preserve">电梯项目有一例得</w:t>
            </w:r>
            <w:r>
              <w:rPr>
                <w:rFonts w:ascii="Times New Roman" w:hAnsi="Times New Roman" w:eastAsia="Times New Roman" w:cs="Times New Roman"/>
                <w:color w:val="000000"/>
                <w:spacing w:val="-6"/>
                <w:sz w:val="22"/>
              </w:rPr>
              <w:t xml:space="preserve">2</w:t>
            </w:r>
            <w:r>
              <w:rPr>
                <w:rFonts w:ascii="SimSun" w:hAnsi="SimSun" w:eastAsia="SimSun" w:cs="SimSun"/>
                <w:color w:val="000000"/>
                <w:spacing w:val="-6"/>
                <w:sz w:val="22"/>
              </w:rPr>
              <w:t xml:space="preserve">分，最高得</w:t>
            </w:r>
            <w:r>
              <w:rPr>
                <w:rFonts w:ascii="Times New Roman" w:hAnsi="Times New Roman" w:eastAsia="Times New Roman" w:cs="Times New Roman"/>
                <w:color w:val="000000"/>
                <w:spacing w:val="-1"/>
                <w:sz w:val="22"/>
              </w:rPr>
              <w:t xml:space="preserve">6</w:t>
            </w:r>
            <w:r>
              <w:rPr>
                <w:rFonts w:ascii="SimSun" w:hAnsi="SimSun" w:eastAsia="SimSun" w:cs="SimSun"/>
                <w:color w:val="000000"/>
                <w:spacing w:val="-1"/>
                <w:sz w:val="22"/>
              </w:rPr>
              <w:t xml:space="preserve">分</w:t>
            </w:r>
            <w:r/>
          </w:p>
          <w:p>
            <w:pPr>
              <w:ind w:left="0" w:right="0" w:firstLine="0"/>
              <w:spacing w:before="5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2"/>
              </w:rPr>
              <w:t xml:space="preserve">（注：须提供合同及监督检验报告复印件或扫描件加盖投标人公章，不提供不得分）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68"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6</w:t>
            </w:r>
            <w:r>
              <w:rPr>
                <w:rFonts w:ascii="Times New Roman" w:hAnsi="Times New Roman" w:eastAsia="Times New Roman" w:cs="Times New Roman"/>
                <w:color w:val="000000"/>
                <w:spacing w:val="-3"/>
                <w:sz w:val="21"/>
              </w:rPr>
              <w:t xml:space="preserve">.0</w:t>
            </w:r>
            <w:r/>
          </w:p>
        </w:tc>
      </w:tr>
      <w:tr>
        <w:trPr>
          <w:trHeight w:val="8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top"/>
            <w:textDirection w:val="lrTb"/>
            <w:noWrap/>
          </w:tcPr>
          <w:p>
            <w:pPr>
              <w:ind w:left="143"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商能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力评价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1.投标人具有质量管理体系认证，得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2.投标人具有环境管理体系认证，得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3.投标人具有职业健康安全管理体系认证证书，得</w:t>
            </w:r>
            <w:r>
              <w:rPr>
                <w:rFonts w:ascii="SimSun" w:hAnsi="SimSun" w:eastAsia="SimSun" w:cs="SimSun"/>
                <w:color w:val="000000"/>
                <w:sz w:val="21"/>
              </w:rPr>
              <w:t xml:space="preserve"> </w:t>
            </w:r>
            <w:r>
              <w:rPr>
                <w:rFonts w:ascii="Times New Roman" w:hAnsi="Times New Roman" w:eastAsia="Times New Roman" w:cs="Times New Roman"/>
                <w:color w:val="000000"/>
                <w:sz w:val="22"/>
              </w:rPr>
              <w:t xml:space="preserve">2</w:t>
            </w:r>
            <w:r>
              <w:rPr>
                <w:rFonts w:ascii="SimSun" w:hAnsi="SimSun" w:eastAsia="SimSun" w:cs="SimSun"/>
                <w:color w:val="000000"/>
                <w:sz w:val="22"/>
              </w:rPr>
              <w:t xml:space="preserve">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(注：须提供有效期内证书复印件或扫描件，认证范围与本项目相适应。以上证明材料应加盖投标人公章，未按要求提供不得分。）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top"/>
            <w:textDirection w:val="lrTb"/>
            <w:noWrap/>
          </w:tcPr>
          <w:p>
            <w:pPr>
              <w:ind w:left="168" w:right="0" w:firstLine="0"/>
              <w:spacing w:before="282"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6.0</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81"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节能评价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所投乘客电梯型号产品（须与投标整梯型式试验报告的型号一致）通过能效等级认证，达到认证等级</w:t>
            </w:r>
            <w:r>
              <w:rPr>
                <w:rFonts w:ascii="Times New Roman" w:hAnsi="Times New Roman" w:eastAsia="Times New Roman" w:cs="Times New Roman"/>
                <w:color w:val="000000"/>
                <w:sz w:val="22"/>
              </w:rPr>
              <w:t xml:space="preserve">A</w:t>
            </w:r>
            <w:r>
              <w:rPr>
                <w:rFonts w:ascii="SimSun" w:hAnsi="SimSun" w:eastAsia="SimSun" w:cs="SimSun"/>
                <w:color w:val="000000"/>
                <w:sz w:val="22"/>
              </w:rPr>
              <w:t xml:space="preserve">级，得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分（须提供有效期内证书</w:t>
            </w:r>
            <w:r>
              <w:rPr>
                <w:rFonts w:ascii="SimSun" w:hAnsi="SimSun" w:eastAsia="SimSun" w:cs="SimSun"/>
                <w:color w:val="000000"/>
                <w:spacing w:val="-1"/>
                <w:sz w:val="22"/>
              </w:rPr>
              <w:t xml:space="preserve">扫描件或复印件加盖投标人公章，不提供不得分。</w:t>
            </w: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1.0</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9" w:type="dxa"/>
            <w:vAlign w:val="center"/>
            <w:textDirection w:val="lrTb"/>
            <w:noWrap/>
          </w:tcPr>
          <w:p>
            <w:pPr>
              <w:ind w:left="143"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2"/>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 w:type="dxa"/>
            <w:vAlign w:val="center"/>
            <w:textDirection w:val="lrTb"/>
            <w:noWrap/>
          </w:tcPr>
          <w:p>
            <w:pPr>
              <w:ind w:left="181"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环保评价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9" w:type="dxa"/>
            <w:vAlign w:val="top"/>
            <w:textDirection w:val="lrTb"/>
            <w:noWrap/>
          </w:tcPr>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投标产品属于财政部、生态环境部公布的“环境标志产品品目清单”范围内的，投标人或产品生厂商提供国家确定的认证机构出具的、处于有效期内的该环保产品认证证书的，得</w:t>
            </w:r>
            <w:r>
              <w:rPr>
                <w:rFonts w:ascii="Times New Roman" w:hAnsi="Times New Roman" w:eastAsia="Times New Roman" w:cs="Times New Roman"/>
                <w:color w:val="000000"/>
                <w:sz w:val="22"/>
              </w:rPr>
              <w:t xml:space="preserve">1</w:t>
            </w:r>
            <w:r>
              <w:rPr>
                <w:rFonts w:ascii="SimSun" w:hAnsi="SimSun" w:eastAsia="SimSun" w:cs="SimSun"/>
                <w:color w:val="000000"/>
                <w:sz w:val="22"/>
              </w:rPr>
              <w:t xml:space="preserve">分。</w:t>
            </w:r>
            <w:r/>
          </w:p>
          <w:p>
            <w:pPr>
              <w:ind w:left="114" w:right="0" w:firstLine="0"/>
              <w:spacing w:before="49"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注：投标人或产品生厂商须提供认证证书原件扫描件及在全国认证认可信息公共服务平台查询为有效截图，加盖投标人公章，未提供的不得分。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 w:type="dxa"/>
            <w:vAlign w:val="center"/>
            <w:textDirection w:val="lrTb"/>
            <w:noWrap/>
          </w:tcPr>
          <w:p>
            <w:pPr>
              <w:ind w:left="169" w:right="0" w:firstLine="0"/>
              <w:jc w:val="both"/>
              <w:spacing w:before="68"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2"/>
              </w:rPr>
              <w:t xml:space="preserve">1.0</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（三）价格评估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8"/>
        <w:gridCol w:w="231"/>
        <w:gridCol w:w="8675"/>
        <w:gridCol w:w="17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2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评审细则</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分值</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0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投标报价得分</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23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投标报价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86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u w:val="none"/>
              </w:rPr>
              <w:t xml:space="preserve">综合评分法中的价格分采用低价优先法计算，即满足招标文件要求且投标价格最低的投标报价为评标基准价，其价格分为满分3</w:t>
            </w:r>
            <w:r>
              <w:rPr>
                <w:rFonts w:ascii="SimSun" w:hAnsi="SimSun" w:eastAsia="SimSun" w:cs="SimSun"/>
                <w:color w:val="000000"/>
                <w:sz w:val="22"/>
              </w:rPr>
              <w:t xml:space="preserve">0 分。其他投标人的价格分统一按照下列公式计算：投标报价得分= (评标基准价／投标报价)×30。(四舍五入后保留2位小数)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根据财政部、工信部《政府采购促进中小企业发展管理办法》以及丹财〔2022〕128号《丹阳市关于进一步加大政府采购支持中小企业力度的通知》的规定：提供的货物全部由符合政策要求的小微企业制造，对其价格给予10%的调减，以调减后的价格计算价格分。《中小企业声明函》填写格式见第五部分投标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根据《财政部</w:t>
            </w:r>
            <w:r>
              <w:rPr>
                <w:rFonts w:ascii="SimSun" w:hAnsi="SimSun" w:eastAsia="SimSun" w:cs="SimSun"/>
                <w:color w:val="000000"/>
                <w:sz w:val="21"/>
              </w:rPr>
              <w:t xml:space="preserve"> </w:t>
            </w:r>
            <w:r>
              <w:rPr>
                <w:rFonts w:ascii="SimSun" w:hAnsi="SimSun" w:eastAsia="SimSun" w:cs="SimSun"/>
                <w:color w:val="000000"/>
                <w:sz w:val="22"/>
              </w:rPr>
              <w:t xml:space="preserve">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有效证明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7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30.0</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9.相同品牌产品的处理原则</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p>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招标编号：分包号：</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138"/>
        <w:gridCol w:w="5094"/>
      </w:tblGrid>
      <w:tr>
        <w:trPr>
          <w:trHeight w:val="900"/>
        </w:trPr>
        <w:tc>
          <w:tcPr>
            <w:tcBorders>
              <w:top w:val="single" w:color="808080" w:sz="8"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投标货物名称</w:t>
            </w:r>
            <w:r/>
          </w:p>
        </w:tc>
        <w:tc>
          <w:tcPr>
            <w:tcBorders>
              <w:top w:val="single" w:color="808080" w:sz="8"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 </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投标产品名称（项目总报价） </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900"/>
        </w:trPr>
        <w:tc>
          <w:tcPr>
            <w:tcBorders>
              <w:top w:val="none" w:color="000000" w:sz="4" w:space="0"/>
              <w:left w:val="single" w:color="808080" w:sz="8" w:space="0"/>
              <w:bottom w:val="single" w:color="808080" w:sz="8" w:space="0"/>
              <w:right w:val="single" w:color="808080" w:sz="8" w:space="0"/>
            </w:tcBorders>
            <w:tcMar>
              <w:left w:w="0" w:type="dxa"/>
              <w:top w:w="0" w:type="dxa"/>
              <w:right w:w="0" w:type="dxa"/>
              <w:bottom w:w="0" w:type="dxa"/>
            </w:tcMar>
            <w:tcW w:w="413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none" w:color="000000" w:sz="4" w:space="0"/>
              <w:left w:val="none" w:color="000000" w:sz="4" w:space="0"/>
              <w:bottom w:val="single" w:color="808080" w:sz="8" w:space="0"/>
              <w:right w:val="single" w:color="808080" w:sz="8" w:space="0"/>
            </w:tcBorders>
            <w:tcMar>
              <w:left w:w="0" w:type="dxa"/>
              <w:top w:w="0" w:type="dxa"/>
              <w:right w:w="0" w:type="dxa"/>
              <w:bottom w:w="0" w:type="dxa"/>
            </w:tcMar>
            <w:tcW w:w="509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（二）投标函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致：丹阳市政府采购中心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w:t>
      </w:r>
      <w:r>
        <w:rPr>
          <w:rFonts w:ascii="SimSun" w:hAnsi="SimSun" w:eastAsia="SimSun" w:cs="SimSun"/>
          <w:color w:val="000000"/>
          <w:sz w:val="24"/>
          <w:u w:val="single"/>
        </w:rPr>
        <w:t xml:space="preserve">根据项目自行编辑</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1.按招标文件规定的各项要求，向招标方提供所需货物与服务。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6.一旦我方中标,我方将根据招标文件的规定，严格履行合同的责任和义务,并保证在招标文件规定的时间完成项目，交付招标方验收、使用。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（三）清单及明细报价表</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
        <w:gridCol w:w="1330"/>
        <w:gridCol w:w="1233"/>
        <w:gridCol w:w="1202"/>
        <w:gridCol w:w="198"/>
        <w:gridCol w:w="1451"/>
        <w:gridCol w:w="1345"/>
        <w:gridCol w:w="2152"/>
      </w:tblGrid>
      <w:tr>
        <w:trPr>
          <w:trHeight w:val="594"/>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一、货物部分</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品牌型号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质保期</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货物部分小计：     元</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rPr>
                <w:rFonts w:ascii="SimSun" w:hAnsi="SimSun" w:eastAsia="SimSun" w:cs="SimSun"/>
                <w:b/>
                <w:color w:val="000000"/>
                <w:sz w:val="20"/>
              </w:rPr>
              <w:t xml:space="preserve">二、服务部分</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名称</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服务期</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价格（元）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备注</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0" w:type="dxa"/>
            <w:vAlign w:val="center"/>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3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52"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r>
        <w:trPr>
          <w:trHeight w:val="594"/>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服务部分小计：     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8"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其它相关费用</w:t>
            </w:r>
            <w:r/>
          </w:p>
        </w:tc>
        <w:tc>
          <w:tcPr>
            <w:gridSpan w:val="4"/>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4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8" w:type="dxa"/>
            <w:vAlign w:val="top"/>
            <w:textDirection w:val="lrTb"/>
            <w:noWrap w:val="false"/>
          </w:tcPr>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项目总报价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46" w:type="dxa"/>
            <w:vAlign w:val="top"/>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元</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注：</w:t>
      </w:r>
      <w:r>
        <w:rPr>
          <w:rFonts w:ascii="SimSun" w:hAnsi="SimSun" w:eastAsia="SimSun" w:cs="SimSun"/>
          <w:color w:val="000000"/>
          <w:sz w:val="20"/>
        </w:rPr>
        <w:t xml:space="preserve">1、</w:t>
      </w:r>
      <w:r>
        <w:rPr>
          <w:rFonts w:ascii="SimSun" w:hAnsi="SimSun" w:eastAsia="SimSun" w:cs="SimSun"/>
          <w:b/>
          <w:color w:val="000000"/>
          <w:sz w:val="20"/>
          <w:u w:val="single"/>
        </w:rPr>
        <w:t xml:space="preserve">投标人应当按照招标文件采购需求及相关报价要求填写</w:t>
      </w:r>
      <w:r>
        <w:rPr>
          <w:rFonts w:ascii="SimSun" w:hAnsi="SimSun" w:eastAsia="SimSun" w:cs="SimSun"/>
          <w:color w:val="000000"/>
          <w:sz w:val="20"/>
          <w:u w:val="single"/>
        </w:rPr>
        <w:t xml:space="preserve">。</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rPr>
          <w:rFonts w:ascii="SimSun" w:hAnsi="SimSun" w:eastAsia="SimSun" w:cs="SimSun"/>
          <w:color w:val="000000"/>
          <w:sz w:val="20"/>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rPr>
          <w:rFonts w:ascii="SimSun" w:hAnsi="SimSun" w:eastAsia="SimSun" w:cs="SimSun"/>
          <w:color w:val="000000"/>
          <w:sz w:val="20"/>
          <w:u w:val="single"/>
        </w:rPr>
        <w:t xml:space="preserve">本表中项目总报价应与开标一览表中项目总报价保持一致。</w:t>
      </w:r>
      <w:r/>
    </w:p>
    <w:p>
      <w:pPr>
        <w:ind w:left="-283"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rPr>
          <w:rFonts w:ascii="SimSun" w:hAnsi="SimSun" w:eastAsia="SimSun" w:cs="SimSun"/>
          <w:color w:val="000000"/>
          <w:sz w:val="20"/>
          <w:u w:val="single"/>
        </w:rPr>
        <w:t xml:space="preserve">报价保留至小数点后两位，四舍五入。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（四）法定代表人身份证明书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4"/>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4"/>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4"/>
        </w:rPr>
        <w:t xml:space="preserve">，在我单位任职务，系我单位主要负责人即法定代表人。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单位全称：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年月日</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附：法定代表人居民身份证扫描件</w:t>
      </w:r>
      <w:r/>
    </w:p>
    <w:p>
      <w:pPr>
        <w:ind w:left="0" w:right="0" w:firstLine="480"/>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注：1.“法定代表人”直接参加投标响应活动的仅需填写本身份证明</w:t>
      </w:r>
      <w:r>
        <w:rPr>
          <w:rFonts w:ascii="SimSun" w:hAnsi="SimSun" w:eastAsia="SimSun" w:cs="SimSun"/>
          <w:color w:val="000000"/>
          <w:sz w:val="24"/>
        </w:rPr>
        <w:t xml:space="preserve">。</w:t>
      </w:r>
      <w:r/>
    </w:p>
    <w:p>
      <w:pPr>
        <w:numPr>
          <w:ilvl w:val="0"/>
          <w:numId w:val="70"/>
        </w:numPr>
        <w:jc w:val="both"/>
        <w:spacing w:before="0" w:after="0"/>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投标人属于非法人组织的，按照法律、行政法规规定能够对外代表其从事民事活动的主要负责人，视同法定代表人。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56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（五）法定代表人授权委托书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一、资格条件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（一）具有独立承担民事责任的能力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（二）具有良好的商业信誉和健全的财务会计制度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（三）有依法缴纳税收和社会保障资金的良好记录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（五）参加政府采购活动前3年内在经营活动中没有重大违法记录的书面声明。</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声明</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（六）落实政府采购政策需满足的资格要求：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（七）资格承诺函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资格承诺函</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___________（采购人、采购代理机构）</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我单位参与</w:t>
      </w:r>
      <w:r>
        <w:rPr>
          <w:rFonts w:ascii="SimSun" w:hAnsi="SimSun" w:eastAsia="SimSun" w:cs="SimSun"/>
          <w:color w:val="000000"/>
          <w:sz w:val="24"/>
          <w:u w:val="single"/>
        </w:rPr>
        <w:t xml:space="preserve">______________（项目名称）______________（项目编号）</w:t>
      </w:r>
      <w:r>
        <w:rPr>
          <w:rFonts w:ascii="SimSun" w:hAnsi="SimSun" w:eastAsia="SimSun" w:cs="SimSun"/>
          <w:color w:val="000000"/>
          <w:sz w:val="24"/>
        </w:rPr>
        <w:t xml:space="preserve">项目的政府采购活动，现承诺如下：</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1.我方具有良好的商业信誉和健全的财务会计制度。</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2.我方具有履行合同所必需的设备和专业技术能力。</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3.我方具有依法缴纳税收和社会保障资金的良好记录。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4.我方参加本项目采购活动前三年内，在经营活动中没有重大违法记录。</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若我单位承诺不实，自愿承担提供虚假材料谋取中标、成交的法律责任。</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投标（响应）供应商（全称并盖章）：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供应商法定代表人或授权代表（签字或签章）：</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___________</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说明：1.供应商可自行选择是否提供本承诺函，若不提供本承诺函的，应按采购文件要求提供相应的证明材料。</w:t>
      </w:r>
      <w:r/>
    </w:p>
    <w:p>
      <w:pPr>
        <w:ind w:left="0" w:right="0" w:firstLine="480"/>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（八）本项目特定资格条件：</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二、符合条件</w:t>
      </w:r>
      <w:r/>
    </w:p>
    <w:p>
      <w:pPr>
        <w:ind w:left="0" w:right="0" w:firstLine="37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（一）投标报价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（二）商务要求响应</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0"/>
        <w:gridCol w:w="2688"/>
        <w:gridCol w:w="2883"/>
        <w:gridCol w:w="1302"/>
        <w:gridCol w:w="16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88"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83"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2"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14"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注：针对采购需求部分商务部分逐条响应。行数不够，可自行添加。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（三）技术要求响应</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技术响应及偏离表</w:t>
      </w:r>
      <w:r/>
    </w:p>
    <w:tbl>
      <w:tblPr>
        <w:tblStyle w:val="79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1278"/>
        <w:gridCol w:w="1879"/>
        <w:gridCol w:w="1914"/>
        <w:gridCol w:w="1302"/>
        <w:gridCol w:w="17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投标实际参数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符合/正偏离/负偏离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6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rPr>
          <w:rFonts w:ascii="SimSun" w:hAnsi="SimSun" w:eastAsia="SimSun" w:cs="SimSun"/>
          <w:color w:val="000000"/>
          <w:sz w:val="24"/>
        </w:rPr>
        <w:t xml:space="preserve">1、“偏离”系指“正偏离”、“负偏离”或“无偏离”。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2、投标人应逐一说明投标货物技术参数和偏离情况，如直接拷贝或简单复制招标文件技术要求的，技术参数响应情况评分按得零分处理。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3、投标人在《技术要求响应及偏离表》中须如实表述产品技术性能，虚构产品技术参数的，将视为虚假应标，按照无效投标处理。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4、行数不够可自行添加。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5、相关证明材料附后。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numPr>
          <w:ilvl w:val="0"/>
          <w:numId w:val="71"/>
        </w:numPr>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综合评审评分项</w:t>
      </w:r>
      <w:r/>
    </w:p>
    <w:p>
      <w:pPr>
        <w:ind w:left="0" w:right="0" w:firstLine="417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（与评审因素对应）</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4426"/>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3415"/>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四</w:t>
      </w:r>
      <w:r>
        <w:rPr>
          <w:rFonts w:ascii="SimSun" w:hAnsi="SimSun" w:eastAsia="SimSun" w:cs="SimSun"/>
          <w:b/>
          <w:color w:val="000000"/>
          <w:sz w:val="30"/>
        </w:rPr>
        <w:t xml:space="preserve">、其他部分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
          <w:sz w:val="24"/>
        </w:rPr>
        <w:t xml:space="preserve">(一)中小企业声明函</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pacing w:val="6"/>
          <w:sz w:val="24"/>
        </w:rPr>
        <w:t xml:space="preserve">本公司（联合体）郑重声明，根据《政府采购促进中小企业发展管理办法》（财库﹝2020﹞46 号）的规定，本公司（联合体）参加</w:t>
      </w:r>
      <w:r>
        <w:rPr>
          <w:rFonts w:ascii="SimSun" w:hAnsi="SimSun" w:eastAsia="SimSun" w:cs="SimSun"/>
          <w:color w:val="000000"/>
          <w:spacing w:val="6"/>
          <w:sz w:val="24"/>
          <w:u w:val="single"/>
        </w:rPr>
        <w:t xml:space="preserve">（单位名称）</w:t>
      </w:r>
      <w:r>
        <w:rPr>
          <w:rFonts w:ascii="SimSun" w:hAnsi="SimSun" w:eastAsia="SimSun" w:cs="SimSun"/>
          <w:color w:val="000000"/>
          <w:spacing w:val="6"/>
          <w:sz w:val="24"/>
        </w:rPr>
        <w:t xml:space="preserve">的</w:t>
      </w:r>
      <w:r>
        <w:rPr>
          <w:rFonts w:ascii="SimSun" w:hAnsi="SimSun" w:eastAsia="SimSun" w:cs="SimSun"/>
          <w:color w:val="000000"/>
          <w:spacing w:val="6"/>
          <w:sz w:val="24"/>
          <w:u w:val="single"/>
        </w:rPr>
        <w:t xml:space="preserve">（项目名称）</w:t>
      </w:r>
      <w:r>
        <w:rPr>
          <w:rFonts w:ascii="SimSun" w:hAnsi="SimSun" w:eastAsia="SimSun" w:cs="SimSun"/>
          <w:color w:val="000000"/>
          <w:spacing w:val="6"/>
          <w:sz w:val="24"/>
        </w:rPr>
        <w:t xml:space="preserve">采购活动，提供的货物全部由符合政策要求的中小企业制造。相关企业（含联合体中的中小企业、签订分包意向协议的中小企业）的具体情况如下：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w:t>
      </w:r>
      <w:r>
        <w:rPr>
          <w:rFonts w:ascii="SimSun" w:hAnsi="SimSun" w:eastAsia="SimSun" w:cs="SimSun"/>
          <w:color w:val="000000"/>
          <w:spacing w:val="6"/>
          <w:sz w:val="24"/>
          <w:u w:val="single"/>
        </w:rPr>
        <w:t xml:space="preserve">（标的名称）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  </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w:t>
      </w:r>
      <w:r>
        <w:rPr>
          <w:rFonts w:ascii="SimSun" w:hAnsi="SimSun" w:eastAsia="SimSun" w:cs="SimSun"/>
          <w:color w:val="000000"/>
          <w:spacing w:val="6"/>
          <w:sz w:val="24"/>
          <w:u w:val="single"/>
        </w:rPr>
        <w:t xml:space="preserve"> （标的名称）</w:t>
      </w:r>
      <w:r>
        <w:rPr>
          <w:rFonts w:ascii="SimSun" w:hAnsi="SimSun" w:eastAsia="SimSun" w:cs="SimSun"/>
          <w:color w:val="000000"/>
          <w:spacing w:val="6"/>
          <w:sz w:val="24"/>
        </w:rPr>
        <w:t xml:space="preserve">，属于</w:t>
      </w:r>
      <w:r>
        <w:rPr>
          <w:rFonts w:ascii="SimSun" w:hAnsi="SimSun" w:eastAsia="SimSun" w:cs="SimSun"/>
          <w:color w:val="000000"/>
          <w:spacing w:val="6"/>
          <w:sz w:val="24"/>
          <w:u w:val="single"/>
        </w:rPr>
        <w:t xml:space="preserve">（采购文件中明确的所属行业）</w:t>
      </w:r>
      <w:r>
        <w:rPr>
          <w:rFonts w:ascii="SimSun" w:hAnsi="SimSun" w:eastAsia="SimSun" w:cs="SimSun"/>
          <w:color w:val="000000"/>
          <w:spacing w:val="6"/>
          <w:sz w:val="24"/>
        </w:rPr>
        <w:t xml:space="preserve">行业；制造商为</w:t>
      </w:r>
      <w:r>
        <w:rPr>
          <w:rFonts w:ascii="SimSun" w:hAnsi="SimSun" w:eastAsia="SimSun" w:cs="SimSun"/>
          <w:color w:val="000000"/>
          <w:spacing w:val="6"/>
          <w:sz w:val="24"/>
          <w:u w:val="single"/>
        </w:rPr>
        <w:t xml:space="preserve">（企业名称）</w:t>
      </w:r>
      <w:r>
        <w:rPr>
          <w:rFonts w:ascii="SimSun" w:hAnsi="SimSun" w:eastAsia="SimSun" w:cs="SimSun"/>
          <w:color w:val="000000"/>
          <w:spacing w:val="6"/>
          <w:sz w:val="24"/>
        </w:rPr>
        <w:t xml:space="preserve">，从业人员</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人，营业收入为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万元，资产总额为</w:t>
      </w:r>
      <w:r>
        <w:rPr>
          <w:rFonts w:ascii="SimSun" w:hAnsi="SimSun" w:eastAsia="SimSun" w:cs="SimSun"/>
          <w:color w:val="000000"/>
          <w:spacing w:val="6"/>
          <w:sz w:val="24"/>
          <w:u w:val="single"/>
        </w:rPr>
        <w:t xml:space="preserve">  </w:t>
      </w:r>
      <w:r>
        <w:rPr>
          <w:rFonts w:ascii="SimSun" w:hAnsi="SimSun" w:eastAsia="SimSun" w:cs="SimSun"/>
          <w:color w:val="000000"/>
          <w:spacing w:val="6"/>
          <w:sz w:val="24"/>
        </w:rPr>
        <w:t xml:space="preserve">万元，属于</w:t>
      </w:r>
      <w:r>
        <w:rPr>
          <w:rFonts w:ascii="SimSun" w:hAnsi="SimSun" w:eastAsia="SimSun" w:cs="SimSun"/>
          <w:color w:val="000000"/>
          <w:spacing w:val="6"/>
          <w:sz w:val="24"/>
          <w:u w:val="single"/>
        </w:rPr>
        <w:t xml:space="preserve">（中型企业、小型企业、微型企业）</w:t>
      </w:r>
      <w:r>
        <w:rPr>
          <w:rFonts w:ascii="SimSun" w:hAnsi="SimSun" w:eastAsia="SimSun" w:cs="SimSun"/>
          <w:color w:val="000000"/>
          <w:spacing w:val="6"/>
          <w:sz w:val="24"/>
        </w:rPr>
        <w:t xml:space="preserve">；</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以上企业，不属于大企业的分支机构，不存在控股股东为大企业的情形，也不存在与大企业的负责人为同一人的情形。</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本企业对上述声明内容的真实性负责。如有虚假，将依法承担相应责任。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企业名称（盖章）：  </w:t>
      </w:r>
      <w:r/>
    </w:p>
    <w:p>
      <w:pPr>
        <w:ind w:left="0" w:right="0" w:firstLine="584"/>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 期：</w:t>
      </w:r>
      <w:r/>
    </w:p>
    <w:p>
      <w:pPr>
        <w:ind w:left="0" w:right="0" w:firstLine="5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r/>
    </w:p>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（备注：1、供应商如不提供此声明函，价格将不做相应扣除。2、成交供应商为残疾人福利单位的，此声明函将随成交结果同时公告，接受社会监督）</w:t>
      </w:r>
      <w:r/>
    </w:p>
    <w:p>
      <w:pPr>
        <w:ind w:left="0" w:right="0" w:firstLine="50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rPr>
          <w:rFonts w:ascii="SimSun" w:hAnsi="SimSun" w:eastAsia="SimSun" w:cs="SimSun"/>
          <w:color w:val="000000"/>
          <w:sz w:val="24"/>
        </w:rPr>
        <w:t xml:space="preserve">供应商全称（加盖CA电子公章）：</w:t>
      </w:r>
      <w:r/>
    </w:p>
    <w:p>
      <w:pPr>
        <w:ind w:left="0" w:right="156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48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numPr>
          <w:ilvl w:val="0"/>
          <w:numId w:val="72"/>
        </w:numPr>
        <w:jc w:val="cente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按招标文件要求供应商所能提供的其他文件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16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2"/>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SimHei">
    <w:panose1 w:val="02010609060101010101"/>
  </w:font>
  <w:font w:name="Segoe UI Symbol">
    <w:panose1 w:val="020B0502040204020203"/>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1">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2">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3">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6">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0">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1">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2">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5">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39">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0">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3">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4">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8">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49">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0">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1">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3">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6">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7">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8">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59">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0">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1">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2">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3">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5">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6">
    <w:multiLevelType w:val="hybridMultilevel"/>
    <w:lvl w:ilvl="0">
      <w:start w:val="1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7">
    <w:multiLevelType w:val="hybridMultilevel"/>
    <w:lvl w:ilvl="0">
      <w:start w:val="2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68">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0">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71">
    <w:multiLevelType w:val="hybridMultilevel"/>
    <w:lvl w:ilvl="0">
      <w:start w:val="3"/>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name w:val="Heading 1"/>
    <w:link w:val="761"/>
    <w:uiPriority w:val="9"/>
    <w:qFormat/>
    <w:pPr>
      <w:keepLines/>
      <w:keepNext/>
      <w:spacing w:before="480" w:after="200"/>
      <w:outlineLvl w:val="0"/>
    </w:pPr>
    <w:rPr>
      <w:rFonts w:ascii="Arial" w:hAnsi="Arial" w:eastAsia="Arial" w:cs="Arial"/>
      <w:sz w:val="40"/>
      <w:szCs w:val="40"/>
    </w:rPr>
  </w:style>
  <w:style w:type="character" w:styleId="761">
    <w:name w:val="Heading 1 Char"/>
    <w:link w:val="760"/>
    <w:uiPriority w:val="9"/>
    <w:rPr>
      <w:rFonts w:ascii="Arial" w:hAnsi="Arial" w:eastAsia="Arial" w:cs="Arial"/>
      <w:sz w:val="40"/>
      <w:szCs w:val="40"/>
    </w:rPr>
  </w:style>
  <w:style w:type="paragraph" w:styleId="762">
    <w:name w:val="Heading 2"/>
    <w:link w:val="763"/>
    <w:uiPriority w:val="9"/>
    <w:unhideWhenUsed/>
    <w:qFormat/>
    <w:pPr>
      <w:keepLines/>
      <w:keepNext/>
      <w:spacing w:before="360" w:after="200"/>
      <w:outlineLvl w:val="1"/>
    </w:pPr>
    <w:rPr>
      <w:rFonts w:ascii="Arial" w:hAnsi="Arial" w:eastAsia="Arial" w:cs="Arial"/>
      <w:sz w:val="34"/>
    </w:rPr>
  </w:style>
  <w:style w:type="character" w:styleId="763">
    <w:name w:val="Heading 2 Char"/>
    <w:link w:val="762"/>
    <w:uiPriority w:val="9"/>
    <w:rPr>
      <w:rFonts w:ascii="Arial" w:hAnsi="Arial" w:eastAsia="Arial" w:cs="Arial"/>
      <w:sz w:val="34"/>
    </w:rPr>
  </w:style>
  <w:style w:type="paragraph" w:styleId="764">
    <w:name w:val="Heading 3"/>
    <w:link w:val="765"/>
    <w:uiPriority w:val="9"/>
    <w:unhideWhenUsed/>
    <w:qFormat/>
    <w:pPr>
      <w:keepLines/>
      <w:keepNext/>
      <w:spacing w:before="320" w:after="200"/>
      <w:outlineLvl w:val="2"/>
    </w:pPr>
    <w:rPr>
      <w:rFonts w:ascii="Arial" w:hAnsi="Arial" w:eastAsia="Arial" w:cs="Arial"/>
      <w:sz w:val="30"/>
      <w:szCs w:val="30"/>
    </w:rPr>
  </w:style>
  <w:style w:type="character" w:styleId="765">
    <w:name w:val="Heading 3 Char"/>
    <w:link w:val="764"/>
    <w:uiPriority w:val="9"/>
    <w:rPr>
      <w:rFonts w:ascii="Arial" w:hAnsi="Arial" w:eastAsia="Arial" w:cs="Arial"/>
      <w:sz w:val="30"/>
      <w:szCs w:val="30"/>
    </w:rPr>
  </w:style>
  <w:style w:type="paragraph" w:styleId="766">
    <w:name w:val="Heading 4"/>
    <w:link w:val="767"/>
    <w:uiPriority w:val="9"/>
    <w:unhideWhenUsed/>
    <w:qFormat/>
    <w:pPr>
      <w:keepLines/>
      <w:keepNext/>
      <w:spacing w:before="320" w:after="200"/>
      <w:outlineLvl w:val="3"/>
    </w:pPr>
    <w:rPr>
      <w:rFonts w:ascii="Arial" w:hAnsi="Arial" w:eastAsia="Arial" w:cs="Arial"/>
      <w:b/>
      <w:bCs/>
      <w:sz w:val="26"/>
      <w:szCs w:val="26"/>
    </w:rPr>
  </w:style>
  <w:style w:type="character" w:styleId="767">
    <w:name w:val="Heading 4 Char"/>
    <w:link w:val="766"/>
    <w:uiPriority w:val="9"/>
    <w:rPr>
      <w:rFonts w:ascii="Arial" w:hAnsi="Arial" w:eastAsia="Arial" w:cs="Arial"/>
      <w:b/>
      <w:bCs/>
      <w:sz w:val="26"/>
      <w:szCs w:val="26"/>
    </w:rPr>
  </w:style>
  <w:style w:type="paragraph" w:styleId="768">
    <w:name w:val="Heading 5"/>
    <w:link w:val="769"/>
    <w:uiPriority w:val="9"/>
    <w:unhideWhenUsed/>
    <w:qFormat/>
    <w:pPr>
      <w:keepLines/>
      <w:keepNext/>
      <w:spacing w:before="320" w:after="200"/>
      <w:outlineLvl w:val="4"/>
    </w:pPr>
    <w:rPr>
      <w:rFonts w:ascii="Arial" w:hAnsi="Arial" w:eastAsia="Arial" w:cs="Arial"/>
      <w:b/>
      <w:bCs/>
      <w:sz w:val="24"/>
      <w:szCs w:val="24"/>
    </w:rPr>
  </w:style>
  <w:style w:type="character" w:styleId="769">
    <w:name w:val="Heading 5 Char"/>
    <w:link w:val="768"/>
    <w:uiPriority w:val="9"/>
    <w:rPr>
      <w:rFonts w:ascii="Arial" w:hAnsi="Arial" w:eastAsia="Arial" w:cs="Arial"/>
      <w:b/>
      <w:bCs/>
      <w:sz w:val="24"/>
      <w:szCs w:val="24"/>
    </w:rPr>
  </w:style>
  <w:style w:type="paragraph" w:styleId="770">
    <w:name w:val="Heading 6"/>
    <w:link w:val="771"/>
    <w:uiPriority w:val="9"/>
    <w:unhideWhenUsed/>
    <w:qFormat/>
    <w:pPr>
      <w:keepLines/>
      <w:keepNext/>
      <w:spacing w:before="320" w:after="200"/>
      <w:outlineLvl w:val="5"/>
    </w:pPr>
    <w:rPr>
      <w:rFonts w:ascii="Arial" w:hAnsi="Arial" w:eastAsia="Arial" w:cs="Arial"/>
      <w:b/>
      <w:bCs/>
      <w:sz w:val="22"/>
      <w:szCs w:val="22"/>
    </w:rPr>
  </w:style>
  <w:style w:type="character" w:styleId="771">
    <w:name w:val="Heading 6 Char"/>
    <w:link w:val="770"/>
    <w:uiPriority w:val="9"/>
    <w:rPr>
      <w:rFonts w:ascii="Arial" w:hAnsi="Arial" w:eastAsia="Arial" w:cs="Arial"/>
      <w:b/>
      <w:bCs/>
      <w:sz w:val="22"/>
      <w:szCs w:val="22"/>
    </w:rPr>
  </w:style>
  <w:style w:type="paragraph" w:styleId="772">
    <w:name w:val="Heading 7"/>
    <w:link w:val="773"/>
    <w:uiPriority w:val="9"/>
    <w:unhideWhenUsed/>
    <w:qFormat/>
    <w:pPr>
      <w:keepLines/>
      <w:keepNext/>
      <w:spacing w:before="320" w:after="200"/>
      <w:outlineLvl w:val="6"/>
    </w:pPr>
    <w:rPr>
      <w:rFonts w:ascii="Arial" w:hAnsi="Arial" w:eastAsia="Arial" w:cs="Arial"/>
      <w:b/>
      <w:bCs/>
      <w:i/>
      <w:iCs/>
      <w:sz w:val="22"/>
      <w:szCs w:val="22"/>
    </w:rPr>
  </w:style>
  <w:style w:type="character" w:styleId="773">
    <w:name w:val="Heading 7 Char"/>
    <w:link w:val="772"/>
    <w:uiPriority w:val="9"/>
    <w:rPr>
      <w:rFonts w:ascii="Arial" w:hAnsi="Arial" w:eastAsia="Arial" w:cs="Arial"/>
      <w:b/>
      <w:bCs/>
      <w:i/>
      <w:iCs/>
      <w:sz w:val="22"/>
      <w:szCs w:val="22"/>
    </w:rPr>
  </w:style>
  <w:style w:type="paragraph" w:styleId="774">
    <w:name w:val="Heading 8"/>
    <w:link w:val="775"/>
    <w:uiPriority w:val="9"/>
    <w:unhideWhenUsed/>
    <w:qFormat/>
    <w:pPr>
      <w:keepLines/>
      <w:keepNext/>
      <w:spacing w:before="320" w:after="200"/>
      <w:outlineLvl w:val="7"/>
    </w:pPr>
    <w:rPr>
      <w:rFonts w:ascii="Arial" w:hAnsi="Arial" w:eastAsia="Arial" w:cs="Arial"/>
      <w:i/>
      <w:iCs/>
      <w:sz w:val="22"/>
      <w:szCs w:val="22"/>
    </w:rPr>
  </w:style>
  <w:style w:type="character" w:styleId="775">
    <w:name w:val="Heading 8 Char"/>
    <w:link w:val="774"/>
    <w:uiPriority w:val="9"/>
    <w:rPr>
      <w:rFonts w:ascii="Arial" w:hAnsi="Arial" w:eastAsia="Arial" w:cs="Arial"/>
      <w:i/>
      <w:iCs/>
      <w:sz w:val="22"/>
      <w:szCs w:val="22"/>
    </w:rPr>
  </w:style>
  <w:style w:type="paragraph" w:styleId="776">
    <w:name w:val="Heading 9"/>
    <w:link w:val="777"/>
    <w:uiPriority w:val="9"/>
    <w:unhideWhenUsed/>
    <w:qFormat/>
    <w:pPr>
      <w:keepLines/>
      <w:keepNext/>
      <w:spacing w:before="320" w:after="200"/>
      <w:outlineLvl w:val="8"/>
    </w:pPr>
    <w:rPr>
      <w:rFonts w:ascii="Arial" w:hAnsi="Arial" w:eastAsia="Arial" w:cs="Arial"/>
      <w:i/>
      <w:iCs/>
      <w:sz w:val="21"/>
      <w:szCs w:val="21"/>
    </w:rPr>
  </w:style>
  <w:style w:type="character" w:styleId="777">
    <w:name w:val="Heading 9 Char"/>
    <w:link w:val="776"/>
    <w:uiPriority w:val="9"/>
    <w:rPr>
      <w:rFonts w:ascii="Arial" w:hAnsi="Arial" w:eastAsia="Arial" w:cs="Arial"/>
      <w:i/>
      <w:iCs/>
      <w:sz w:val="21"/>
      <w:szCs w:val="21"/>
    </w:rPr>
  </w:style>
  <w:style w:type="paragraph" w:styleId="778">
    <w:name w:val="List Paragraph"/>
    <w:uiPriority w:val="34"/>
    <w:qFormat/>
    <w:pPr>
      <w:contextualSpacing/>
      <w:ind w:left="720"/>
    </w:pPr>
  </w:style>
  <w:style w:type="paragraph" w:styleId="779">
    <w:name w:val="No Spacing"/>
    <w:uiPriority w:val="1"/>
    <w:qFormat/>
    <w:pPr>
      <w:spacing w:before="0" w:after="0" w:line="240" w:lineRule="auto"/>
    </w:pPr>
  </w:style>
  <w:style w:type="paragraph" w:styleId="780">
    <w:name w:val="Title"/>
    <w:link w:val="781"/>
    <w:uiPriority w:val="10"/>
    <w:qFormat/>
    <w:pPr>
      <w:contextualSpacing/>
      <w:spacing w:before="300" w:after="200"/>
    </w:pPr>
    <w:rPr>
      <w:sz w:val="48"/>
      <w:szCs w:val="48"/>
    </w:rPr>
  </w:style>
  <w:style w:type="character" w:styleId="781">
    <w:name w:val="Title Char"/>
    <w:link w:val="780"/>
    <w:uiPriority w:val="10"/>
    <w:rPr>
      <w:sz w:val="48"/>
      <w:szCs w:val="48"/>
    </w:rPr>
  </w:style>
  <w:style w:type="paragraph" w:styleId="782">
    <w:name w:val="Subtitle"/>
    <w:link w:val="783"/>
    <w:uiPriority w:val="11"/>
    <w:qFormat/>
    <w:pPr>
      <w:spacing w:before="200" w:after="200"/>
    </w:pPr>
    <w:rPr>
      <w:sz w:val="24"/>
      <w:szCs w:val="24"/>
    </w:rPr>
  </w:style>
  <w:style w:type="character" w:styleId="783">
    <w:name w:val="Subtitle Char"/>
    <w:link w:val="782"/>
    <w:uiPriority w:val="11"/>
    <w:rPr>
      <w:sz w:val="24"/>
      <w:szCs w:val="24"/>
    </w:rPr>
  </w:style>
  <w:style w:type="paragraph" w:styleId="784">
    <w:name w:val="Quote"/>
    <w:link w:val="785"/>
    <w:uiPriority w:val="29"/>
    <w:qFormat/>
    <w:pPr>
      <w:ind w:left="720" w:right="720"/>
    </w:pPr>
    <w:rPr>
      <w:i/>
    </w:rPr>
  </w:style>
  <w:style w:type="character" w:styleId="785">
    <w:name w:val="Quote Char"/>
    <w:link w:val="784"/>
    <w:uiPriority w:val="29"/>
    <w:rPr>
      <w:i/>
    </w:rPr>
  </w:style>
  <w:style w:type="paragraph" w:styleId="786">
    <w:name w:val="Intense Quote"/>
    <w:link w:val="78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7">
    <w:name w:val="Intense Quote Char"/>
    <w:link w:val="786"/>
    <w:uiPriority w:val="30"/>
    <w:rPr>
      <w:i/>
    </w:rPr>
  </w:style>
  <w:style w:type="paragraph" w:styleId="788">
    <w:name w:val="Header"/>
    <w:link w:val="789"/>
    <w:uiPriority w:val="99"/>
    <w:unhideWhenUsed/>
    <w:pPr>
      <w:spacing w:after="0" w:line="240" w:lineRule="auto"/>
      <w:tabs>
        <w:tab w:val="center" w:pos="7143" w:leader="none"/>
        <w:tab w:val="right" w:pos="14287" w:leader="none"/>
      </w:tabs>
    </w:pPr>
  </w:style>
  <w:style w:type="character" w:styleId="789">
    <w:name w:val="Header Char"/>
    <w:link w:val="788"/>
    <w:uiPriority w:val="99"/>
  </w:style>
  <w:style w:type="paragraph" w:styleId="790">
    <w:name w:val="Footer"/>
    <w:link w:val="793"/>
    <w:uiPriority w:val="99"/>
    <w:unhideWhenUsed/>
    <w:pPr>
      <w:spacing w:after="0" w:line="240" w:lineRule="auto"/>
      <w:tabs>
        <w:tab w:val="center" w:pos="7143" w:leader="none"/>
        <w:tab w:val="right" w:pos="14287" w:leader="none"/>
      </w:tabs>
    </w:pPr>
  </w:style>
  <w:style w:type="character" w:styleId="791">
    <w:name w:val="Footer Char"/>
    <w:link w:val="790"/>
    <w:uiPriority w:val="99"/>
  </w:style>
  <w:style w:type="paragraph" w:styleId="792">
    <w:name w:val="Caption"/>
    <w:uiPriority w:val="35"/>
    <w:semiHidden/>
    <w:unhideWhenUsed/>
    <w:qFormat/>
    <w:pPr>
      <w:spacing w:line="276" w:lineRule="auto"/>
    </w:pPr>
    <w:rPr>
      <w:b/>
      <w:bCs/>
      <w:color w:val="4f81bd" w:themeColor="accent1"/>
      <w:sz w:val="18"/>
      <w:szCs w:val="18"/>
    </w:rPr>
  </w:style>
  <w:style w:type="character" w:styleId="793">
    <w:name w:val="Caption Char"/>
    <w:basedOn w:val="792"/>
    <w:link w:val="790"/>
    <w:uiPriority w:val="99"/>
  </w:style>
  <w:style w:type="table" w:styleId="79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0">
    <w:name w:val="Hyperlink"/>
    <w:uiPriority w:val="99"/>
    <w:unhideWhenUsed/>
    <w:rPr>
      <w:color w:val="0000ff" w:themeColor="hyperlink"/>
      <w:u w:val="single"/>
    </w:rPr>
  </w:style>
  <w:style w:type="paragraph" w:styleId="921">
    <w:name w:val="footnote text"/>
    <w:link w:val="922"/>
    <w:uiPriority w:val="99"/>
    <w:semiHidden/>
    <w:unhideWhenUsed/>
    <w:pPr>
      <w:spacing w:after="40" w:line="240" w:lineRule="auto"/>
    </w:pPr>
    <w:rPr>
      <w:sz w:val="18"/>
    </w:rPr>
  </w:style>
  <w:style w:type="character" w:styleId="922">
    <w:name w:val="Footnote Text Char"/>
    <w:link w:val="921"/>
    <w:uiPriority w:val="99"/>
    <w:rPr>
      <w:sz w:val="18"/>
    </w:rPr>
  </w:style>
  <w:style w:type="character" w:styleId="923">
    <w:name w:val="footnote reference"/>
    <w:uiPriority w:val="99"/>
    <w:unhideWhenUsed/>
    <w:rPr>
      <w:vertAlign w:val="superscript"/>
    </w:rPr>
  </w:style>
  <w:style w:type="paragraph" w:styleId="924">
    <w:name w:val="endnote text"/>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uiPriority w:val="39"/>
    <w:unhideWhenUsed/>
    <w:pPr>
      <w:ind w:left="0" w:right="0" w:firstLine="0"/>
      <w:spacing w:after="57"/>
    </w:pPr>
  </w:style>
  <w:style w:type="paragraph" w:styleId="928">
    <w:name w:val="toc 2"/>
    <w:uiPriority w:val="39"/>
    <w:unhideWhenUsed/>
    <w:pPr>
      <w:ind w:left="283" w:right="0" w:firstLine="0"/>
      <w:spacing w:after="57"/>
    </w:pPr>
  </w:style>
  <w:style w:type="paragraph" w:styleId="929">
    <w:name w:val="toc 3"/>
    <w:uiPriority w:val="39"/>
    <w:unhideWhenUsed/>
    <w:pPr>
      <w:ind w:left="567" w:right="0" w:firstLine="0"/>
      <w:spacing w:after="57"/>
    </w:pPr>
  </w:style>
  <w:style w:type="paragraph" w:styleId="930">
    <w:name w:val="toc 4"/>
    <w:uiPriority w:val="39"/>
    <w:unhideWhenUsed/>
    <w:pPr>
      <w:ind w:left="850" w:right="0" w:firstLine="0"/>
      <w:spacing w:after="57"/>
    </w:pPr>
  </w:style>
  <w:style w:type="paragraph" w:styleId="931">
    <w:name w:val="toc 5"/>
    <w:uiPriority w:val="39"/>
    <w:unhideWhenUsed/>
    <w:pPr>
      <w:ind w:left="1134" w:right="0" w:firstLine="0"/>
      <w:spacing w:after="57"/>
    </w:pPr>
  </w:style>
  <w:style w:type="paragraph" w:styleId="932">
    <w:name w:val="toc 6"/>
    <w:uiPriority w:val="39"/>
    <w:unhideWhenUsed/>
    <w:pPr>
      <w:ind w:left="1417" w:right="0" w:firstLine="0"/>
      <w:spacing w:after="57"/>
    </w:pPr>
  </w:style>
  <w:style w:type="paragraph" w:styleId="933">
    <w:name w:val="toc 7"/>
    <w:uiPriority w:val="39"/>
    <w:unhideWhenUsed/>
    <w:pPr>
      <w:ind w:left="1701" w:right="0" w:firstLine="0"/>
      <w:spacing w:after="57"/>
    </w:pPr>
  </w:style>
  <w:style w:type="paragraph" w:styleId="934">
    <w:name w:val="toc 8"/>
    <w:uiPriority w:val="39"/>
    <w:unhideWhenUsed/>
    <w:pPr>
      <w:ind w:left="1984" w:right="0" w:firstLine="0"/>
      <w:spacing w:after="57"/>
    </w:pPr>
  </w:style>
  <w:style w:type="paragraph" w:styleId="935">
    <w:name w:val="toc 9"/>
    <w:uiPriority w:val="39"/>
    <w:unhideWhenUsed/>
    <w:pPr>
      <w:ind w:left="2268" w:right="0" w:firstLine="0"/>
      <w:spacing w:after="57"/>
    </w:pPr>
  </w:style>
  <w:style w:type="paragraph" w:styleId="936">
    <w:name w:val="TOC Heading"/>
    <w:uiPriority w:val="39"/>
    <w:unhideWhenUsed/>
  </w:style>
  <w:style w:type="paragraph" w:styleId="937">
    <w:name w:val="table of figures"/>
    <w:uiPriority w:val="99"/>
    <w:unhideWhenUsed/>
    <w:pPr>
      <w:spacing w:after="0" w:afterAutospacing="0"/>
    </w:pPr>
  </w:style>
  <w:style w:type="character" w:styleId="938" w:default="1">
    <w:name w:val="Default Paragraph Font"/>
    <w:uiPriority w:val="1"/>
    <w:semiHidden/>
    <w:unhideWhenUsed/>
  </w:style>
  <w:style w:type="numbering" w:styleId="939" w:default="1">
    <w:name w:val="No List"/>
    <w:uiPriority w:val="99"/>
    <w:semiHidden/>
    <w:unhideWhenUsed/>
  </w:style>
  <w:style w:type="paragraph" w:styleId="940" w:default="1">
    <w:name w:val="Normal"/>
    <w:qFormat/>
  </w:style>
  <w:style w:type="table" w:styleId="9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王东</cp:lastModifiedBy>
  <cp:revision>5</cp:revision>
  <dcterms:created xsi:type="dcterms:W3CDTF">2026-04-09T02:01:36Z</dcterms:created>
  <dcterms:modified xsi:type="dcterms:W3CDTF">2026-04-15T05:41:32Z</dcterms:modified>
</cp:coreProperties>
</file>